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3ECD" w14:textId="68349E02" w:rsidR="00827F3F" w:rsidRPr="00915031" w:rsidRDefault="00223AA3" w:rsidP="00223AA3">
      <w:pPr>
        <w:autoSpaceDE w:val="0"/>
        <w:autoSpaceDN w:val="0"/>
        <w:adjustRightInd w:val="0"/>
        <w:spacing w:after="0" w:line="240" w:lineRule="auto"/>
        <w:jc w:val="both"/>
        <w:rPr>
          <w:rFonts w:ascii="Arial" w:hAnsi="Arial" w:cs="Arial"/>
        </w:rPr>
      </w:pPr>
      <w:r w:rsidRPr="00915031">
        <w:rPr>
          <w:rFonts w:ascii="Arial" w:hAnsi="Arial" w:cs="Arial"/>
        </w:rPr>
        <w:t>Liability Waivers need to be completed by each person</w:t>
      </w:r>
      <w:r w:rsidR="009D4AD4">
        <w:rPr>
          <w:rFonts w:ascii="Arial" w:hAnsi="Arial" w:cs="Arial"/>
        </w:rPr>
        <w:t xml:space="preserve"> not</w:t>
      </w:r>
      <w:r w:rsidRPr="00915031">
        <w:rPr>
          <w:rFonts w:ascii="Arial" w:hAnsi="Arial" w:cs="Arial"/>
        </w:rPr>
        <w:t xml:space="preserve"> listed under the protocol </w:t>
      </w:r>
      <w:r w:rsidR="002E27AB" w:rsidRPr="00915031">
        <w:rPr>
          <w:rFonts w:ascii="Arial" w:hAnsi="Arial" w:cs="Arial"/>
        </w:rPr>
        <w:t>(e.g., vessel operators, net holders, etc.)</w:t>
      </w:r>
      <w:r w:rsidR="002E27AB">
        <w:rPr>
          <w:rFonts w:ascii="Arial" w:hAnsi="Arial" w:cs="Arial"/>
        </w:rPr>
        <w:t xml:space="preserve"> or anyone who was listed on the protocol but was not required to submit a Section G Form. </w:t>
      </w:r>
      <w:r w:rsidR="00A2159A" w:rsidRPr="00915031">
        <w:rPr>
          <w:rFonts w:ascii="Arial" w:hAnsi="Arial" w:cs="Arial"/>
        </w:rPr>
        <w:t>Liability Waivers must be submitted with each required annual update</w:t>
      </w:r>
      <w:r w:rsidR="00485CF9">
        <w:rPr>
          <w:rFonts w:ascii="Arial" w:hAnsi="Arial" w:cs="Arial"/>
        </w:rPr>
        <w:t>,</w:t>
      </w:r>
      <w:r w:rsidR="00A2159A" w:rsidRPr="00915031">
        <w:rPr>
          <w:rFonts w:ascii="Arial" w:hAnsi="Arial" w:cs="Arial"/>
        </w:rPr>
        <w:t xml:space="preserve"> upon the project’s completion,</w:t>
      </w:r>
      <w:r w:rsidR="00485CF9">
        <w:rPr>
          <w:rFonts w:ascii="Arial" w:hAnsi="Arial" w:cs="Arial"/>
        </w:rPr>
        <w:t xml:space="preserve"> or upon the IACUC’s request,</w:t>
      </w:r>
      <w:r w:rsidR="00A2159A" w:rsidRPr="00915031">
        <w:rPr>
          <w:rFonts w:ascii="Arial" w:hAnsi="Arial" w:cs="Arial"/>
        </w:rPr>
        <w:t xml:space="preserve"> whichever comes first.</w:t>
      </w:r>
      <w:r w:rsidR="00184109" w:rsidRPr="00184109">
        <w:rPr>
          <w:rFonts w:ascii="Arial" w:hAnsi="Arial" w:cs="Arial"/>
        </w:rPr>
        <w:t xml:space="preserve"> </w:t>
      </w:r>
      <w:r w:rsidR="00184109" w:rsidRPr="00915031">
        <w:rPr>
          <w:rFonts w:ascii="Arial" w:hAnsi="Arial" w:cs="Arial"/>
        </w:rPr>
        <w:t xml:space="preserve">All necessary documents must be submitted to </w:t>
      </w:r>
      <w:hyperlink r:id="rId11" w:history="1">
        <w:r w:rsidR="00184109" w:rsidRPr="00915031">
          <w:rPr>
            <w:rStyle w:val="Hyperlink"/>
            <w:rFonts w:ascii="Arial" w:hAnsi="Arial" w:cs="Arial"/>
            <w:color w:val="0151A4"/>
          </w:rPr>
          <w:t>iacuc@georgiaaquarium.org</w:t>
        </w:r>
      </w:hyperlink>
      <w:r w:rsidR="00184109" w:rsidRPr="00915031">
        <w:rPr>
          <w:rFonts w:ascii="Arial" w:hAnsi="Arial" w:cs="Arial"/>
        </w:rPr>
        <w:t>. Hard copies and scanned hard copies can be submitted to the IACUC Coordinator or the IACUC Compliance Officer.</w:t>
      </w:r>
    </w:p>
    <w:p w14:paraId="4EDE70E5" w14:textId="77777777" w:rsidR="00827F3F" w:rsidRPr="00915031" w:rsidRDefault="00827F3F" w:rsidP="00686248">
      <w:pPr>
        <w:autoSpaceDE w:val="0"/>
        <w:autoSpaceDN w:val="0"/>
        <w:adjustRightInd w:val="0"/>
        <w:spacing w:after="0" w:line="240" w:lineRule="auto"/>
        <w:rPr>
          <w:rFonts w:ascii="Arial" w:hAnsi="Arial" w:cs="Arial"/>
          <w:b/>
          <w:bCs/>
          <w:color w:val="0151A4"/>
          <w:sz w:val="24"/>
          <w:szCs w:val="24"/>
        </w:rPr>
      </w:pPr>
    </w:p>
    <w:p w14:paraId="29A86902" w14:textId="57BA8A44" w:rsidR="00686248" w:rsidRPr="00915031" w:rsidRDefault="00223AA3" w:rsidP="00686248">
      <w:pPr>
        <w:autoSpaceDE w:val="0"/>
        <w:autoSpaceDN w:val="0"/>
        <w:adjustRightInd w:val="0"/>
        <w:spacing w:after="0" w:line="240" w:lineRule="auto"/>
        <w:rPr>
          <w:rFonts w:ascii="Arial" w:hAnsi="Arial" w:cs="Arial"/>
          <w:b/>
          <w:bCs/>
          <w:color w:val="0151A4"/>
          <w:sz w:val="24"/>
          <w:szCs w:val="24"/>
        </w:rPr>
      </w:pPr>
      <w:r w:rsidRPr="00915031">
        <w:rPr>
          <w:rFonts w:ascii="Arial" w:hAnsi="Arial" w:cs="Arial"/>
          <w:b/>
          <w:bCs/>
          <w:color w:val="0151A4"/>
          <w:sz w:val="24"/>
          <w:szCs w:val="24"/>
        </w:rPr>
        <w:t>LIABILITY WAIVER</w:t>
      </w:r>
    </w:p>
    <w:p w14:paraId="70963CA9" w14:textId="77777777" w:rsidR="00223AA3" w:rsidRPr="00915031" w:rsidRDefault="00223AA3" w:rsidP="00686248">
      <w:pPr>
        <w:autoSpaceDE w:val="0"/>
        <w:autoSpaceDN w:val="0"/>
        <w:adjustRightInd w:val="0"/>
        <w:spacing w:after="0" w:line="240" w:lineRule="auto"/>
        <w:rPr>
          <w:rFonts w:ascii="Arial" w:hAnsi="Arial" w:cs="Arial"/>
          <w:b/>
          <w:bCs/>
          <w:color w:val="0151A4"/>
          <w:sz w:val="24"/>
          <w:szCs w:val="24"/>
        </w:rPr>
      </w:pPr>
    </w:p>
    <w:p w14:paraId="3C942DA3" w14:textId="77777777" w:rsidR="00A2159A" w:rsidRPr="00915031" w:rsidRDefault="00A2159A" w:rsidP="00A2159A">
      <w:pPr>
        <w:pStyle w:val="ListParagraph"/>
        <w:numPr>
          <w:ilvl w:val="0"/>
          <w:numId w:val="7"/>
        </w:numPr>
        <w:spacing w:line="256" w:lineRule="auto"/>
        <w:ind w:left="360"/>
        <w:rPr>
          <w:rFonts w:ascii="Arial" w:hAnsi="Arial" w:cs="Arial"/>
          <w:b/>
        </w:rPr>
      </w:pPr>
      <w:r w:rsidRPr="00915031">
        <w:rPr>
          <w:rFonts w:ascii="Arial" w:hAnsi="Arial" w:cs="Arial"/>
          <w:b/>
        </w:rPr>
        <w:t>Animal Handling</w:t>
      </w:r>
    </w:p>
    <w:p w14:paraId="1BA7A168" w14:textId="3C7EF07C" w:rsidR="00A2159A" w:rsidRPr="00915031" w:rsidRDefault="00982F2E" w:rsidP="00A2159A">
      <w:pPr>
        <w:jc w:val="both"/>
        <w:rPr>
          <w:rFonts w:ascii="Arial" w:hAnsi="Arial" w:cs="Arial"/>
        </w:rPr>
      </w:pPr>
      <w:r>
        <w:rPr>
          <w:rFonts w:ascii="Arial" w:hAnsi="Arial" w:cs="Arial"/>
        </w:rPr>
        <w:t>Personnel that are listed on a protocol but were exempted from a Section G form may only conduct animal handling activities that fall within their daily responsibilities at Georgia Aquarium. All other s</w:t>
      </w:r>
      <w:r w:rsidR="00A2159A" w:rsidRPr="00915031">
        <w:rPr>
          <w:rFonts w:ascii="Arial" w:hAnsi="Arial" w:cs="Arial"/>
        </w:rPr>
        <w:t xml:space="preserve">econdary personnel are </w:t>
      </w:r>
      <w:r w:rsidR="00A2159A" w:rsidRPr="001836EE">
        <w:rPr>
          <w:rFonts w:ascii="Arial" w:hAnsi="Arial" w:cs="Arial"/>
          <w:b/>
          <w:bCs/>
        </w:rPr>
        <w:t xml:space="preserve">not </w:t>
      </w:r>
      <w:r w:rsidR="00A2159A" w:rsidRPr="00915031">
        <w:rPr>
          <w:rFonts w:ascii="Arial" w:hAnsi="Arial" w:cs="Arial"/>
        </w:rPr>
        <w:t>authorized to engage in direct animal handling (hands-on work), indirect animal handling (training, stimulus control, etc.), collection of samples, or treatment (experimental, medial, or otherwise) without pre-authorization from the Georgia Aquarium IACUC under an approved protocol.</w:t>
      </w:r>
    </w:p>
    <w:p w14:paraId="08E7C86F" w14:textId="77777777" w:rsidR="00A2159A" w:rsidRPr="00915031" w:rsidRDefault="00A2159A" w:rsidP="00A2159A">
      <w:pPr>
        <w:pStyle w:val="ListParagraph"/>
        <w:numPr>
          <w:ilvl w:val="0"/>
          <w:numId w:val="7"/>
        </w:numPr>
        <w:spacing w:line="256" w:lineRule="auto"/>
        <w:ind w:left="360"/>
        <w:rPr>
          <w:rFonts w:ascii="Arial" w:hAnsi="Arial" w:cs="Arial"/>
          <w:b/>
        </w:rPr>
      </w:pPr>
      <w:r w:rsidRPr="00915031">
        <w:rPr>
          <w:rFonts w:ascii="Arial" w:hAnsi="Arial" w:cs="Arial"/>
          <w:b/>
        </w:rPr>
        <w:t>Training</w:t>
      </w:r>
    </w:p>
    <w:p w14:paraId="3F00FFE6" w14:textId="77777777" w:rsidR="00A2159A" w:rsidRPr="00915031" w:rsidRDefault="00A2159A" w:rsidP="00A2159A">
      <w:pPr>
        <w:jc w:val="both"/>
        <w:rPr>
          <w:rFonts w:ascii="Arial" w:hAnsi="Arial" w:cs="Arial"/>
        </w:rPr>
      </w:pPr>
      <w:r w:rsidRPr="00915031">
        <w:rPr>
          <w:rFonts w:ascii="Arial" w:hAnsi="Arial" w:cs="Arial"/>
        </w:rPr>
        <w:t>All personnel working on approved research protocols must have completed all necessary training on their related functions and responsibilities under the approved research, prior to the start of such work. The Principal Investigator is responsible for the oversight of secondary personnel and their training.</w:t>
      </w:r>
    </w:p>
    <w:p w14:paraId="2465EF86" w14:textId="77777777" w:rsidR="00A2159A" w:rsidRPr="00915031" w:rsidRDefault="00A2159A" w:rsidP="00A2159A">
      <w:pPr>
        <w:pStyle w:val="ListParagraph"/>
        <w:numPr>
          <w:ilvl w:val="0"/>
          <w:numId w:val="7"/>
        </w:numPr>
        <w:spacing w:line="256" w:lineRule="auto"/>
        <w:ind w:left="360"/>
        <w:rPr>
          <w:rFonts w:ascii="Arial" w:hAnsi="Arial" w:cs="Arial"/>
          <w:b/>
        </w:rPr>
      </w:pPr>
      <w:r w:rsidRPr="00915031">
        <w:rPr>
          <w:rFonts w:ascii="Arial" w:hAnsi="Arial" w:cs="Arial"/>
          <w:b/>
        </w:rPr>
        <w:t>Accident or Injury</w:t>
      </w:r>
    </w:p>
    <w:p w14:paraId="75A2C0C4" w14:textId="77777777" w:rsidR="00A2159A" w:rsidRPr="00915031" w:rsidRDefault="00A2159A" w:rsidP="00A2159A">
      <w:pPr>
        <w:jc w:val="both"/>
        <w:rPr>
          <w:rFonts w:ascii="Arial" w:hAnsi="Arial" w:cs="Arial"/>
        </w:rPr>
      </w:pPr>
      <w:r w:rsidRPr="00915031">
        <w:rPr>
          <w:rFonts w:ascii="Arial" w:hAnsi="Arial" w:cs="Arial"/>
        </w:rPr>
        <w:t>All personnel working on approved research protocols must have been accessed for health risks and are actively participating in an appropriate Occupational Health &amp; Safety Program. Georgia Aquarium is not responsible for any accidents or injuries for non-employees which may occur during research activities. Accidents or injuries related to those employed by Georgia Aquarium must follow all safety and accident reporting procedures of Georgia Aquarium to allow for appropriate assessment of said accidents or injuries by the appropriate parties.</w:t>
      </w:r>
    </w:p>
    <w:p w14:paraId="7FCA1E47" w14:textId="77777777" w:rsidR="00A2159A" w:rsidRPr="00915031" w:rsidRDefault="00A2159A" w:rsidP="00A2159A">
      <w:pPr>
        <w:pStyle w:val="ListParagraph"/>
        <w:numPr>
          <w:ilvl w:val="0"/>
          <w:numId w:val="7"/>
        </w:numPr>
        <w:spacing w:line="256" w:lineRule="auto"/>
        <w:ind w:left="360"/>
        <w:rPr>
          <w:rFonts w:ascii="Arial" w:hAnsi="Arial" w:cs="Arial"/>
          <w:b/>
        </w:rPr>
      </w:pPr>
      <w:r w:rsidRPr="00915031">
        <w:rPr>
          <w:rFonts w:ascii="Arial" w:hAnsi="Arial" w:cs="Arial"/>
          <w:b/>
        </w:rPr>
        <w:t>Non-Compliance</w:t>
      </w:r>
    </w:p>
    <w:p w14:paraId="07F88C66" w14:textId="6874A4A3" w:rsidR="00A2159A" w:rsidRPr="00915031" w:rsidRDefault="00A2159A" w:rsidP="00A2159A">
      <w:pPr>
        <w:jc w:val="both"/>
        <w:rPr>
          <w:rFonts w:ascii="Arial" w:hAnsi="Arial" w:cs="Arial"/>
        </w:rPr>
      </w:pPr>
      <w:r w:rsidRPr="00915031">
        <w:rPr>
          <w:rFonts w:ascii="Arial" w:hAnsi="Arial" w:cs="Arial"/>
        </w:rPr>
        <w:t xml:space="preserve">All personnel working on approved research protocols must conduct activities in accordance with (1) the approved procedures and details of the protocol, (2) the IACUC’s </w:t>
      </w:r>
      <w:r w:rsidR="00E710B5">
        <w:rPr>
          <w:rFonts w:ascii="Arial" w:hAnsi="Arial" w:cs="Arial"/>
        </w:rPr>
        <w:t xml:space="preserve">Research </w:t>
      </w:r>
      <w:r w:rsidRPr="00915031">
        <w:rPr>
          <w:rFonts w:ascii="Arial" w:hAnsi="Arial" w:cs="Arial"/>
        </w:rPr>
        <w:t>Approval Standard Conditions, and (3) all applicable local, state, and federal wildlife laws. Any deviation from an approved protocol or its procedures is considered a major violation and may result in corrective actions, up to but not limited to, recommendations for disciplinary action or withdrawal of all present and future support of an individual working on approved protocols. Any work that is performed without IACUC approval or by parties without IACUC approval and/or may result in federally required reporting of non-compliance.</w:t>
      </w:r>
    </w:p>
    <w:p w14:paraId="652EC93E" w14:textId="77777777" w:rsidR="00A2159A" w:rsidRPr="00915031" w:rsidRDefault="00A2159A" w:rsidP="00A2159A">
      <w:pPr>
        <w:pStyle w:val="ListParagraph"/>
        <w:numPr>
          <w:ilvl w:val="0"/>
          <w:numId w:val="7"/>
        </w:numPr>
        <w:spacing w:line="256" w:lineRule="auto"/>
        <w:ind w:left="360"/>
        <w:rPr>
          <w:rFonts w:ascii="Arial" w:hAnsi="Arial" w:cs="Arial"/>
          <w:b/>
        </w:rPr>
      </w:pPr>
      <w:r w:rsidRPr="00915031">
        <w:rPr>
          <w:rFonts w:ascii="Arial" w:hAnsi="Arial" w:cs="Arial"/>
          <w:b/>
        </w:rPr>
        <w:t>Whistleblower Policy</w:t>
      </w:r>
    </w:p>
    <w:p w14:paraId="4EEB4576" w14:textId="77777777" w:rsidR="00A2159A" w:rsidRPr="00915031" w:rsidRDefault="00A2159A" w:rsidP="00A2159A">
      <w:pPr>
        <w:jc w:val="both"/>
        <w:rPr>
          <w:rFonts w:ascii="Arial" w:hAnsi="Arial" w:cs="Arial"/>
        </w:rPr>
      </w:pPr>
      <w:r w:rsidRPr="00915031">
        <w:rPr>
          <w:rFonts w:ascii="Arial" w:hAnsi="Arial" w:cs="Arial"/>
        </w:rPr>
        <w:t xml:space="preserve">All personnel working on approved research protocols have the right and responsibility to report concerns of non-compliance with approved protocols and/or animal welfare concerns to Georgia Aquarium’s IACUC and Animal Welfare Committee. </w:t>
      </w:r>
    </w:p>
    <w:p w14:paraId="32D495F6" w14:textId="77777777" w:rsidR="00A2159A" w:rsidRPr="00915031" w:rsidRDefault="00A2159A" w:rsidP="00A2159A">
      <w:pPr>
        <w:spacing w:after="0" w:line="240" w:lineRule="auto"/>
        <w:ind w:right="90"/>
        <w:jc w:val="both"/>
        <w:rPr>
          <w:rFonts w:ascii="Arial" w:hAnsi="Arial" w:cs="Arial"/>
        </w:rPr>
      </w:pPr>
      <w:r w:rsidRPr="00915031">
        <w:rPr>
          <w:rFonts w:ascii="Arial" w:hAnsi="Arial" w:cs="Arial"/>
        </w:rPr>
        <w:t>It is contrary to the values of Georgia Aquarium for anyone to retaliate against any staff, volunteers, research colleagues, the general public, or members of the IACUC who in good faith reports a deviation or suspected deviation of any regulation or policy governing Georgia Aquarium’s Animal Care and Use Program. An employee who retaliates against someone who has reported a deviation in good faith may be subjected to the penalties outlined in Georgia Aquarium’s Employee Handbook as a violation of Georgia Aquarium’s Code of Conduct.</w:t>
      </w:r>
    </w:p>
    <w:p w14:paraId="2089CCE5" w14:textId="77777777" w:rsidR="00A2159A" w:rsidRPr="00915031" w:rsidRDefault="00A2159A" w:rsidP="00A2159A">
      <w:pPr>
        <w:spacing w:after="0" w:line="240" w:lineRule="auto"/>
        <w:ind w:right="90"/>
        <w:jc w:val="both"/>
        <w:rPr>
          <w:rFonts w:ascii="Arial" w:eastAsia="Times New Roman" w:hAnsi="Arial" w:cs="Arial"/>
          <w:color w:val="FF0000"/>
        </w:rPr>
      </w:pPr>
    </w:p>
    <w:p w14:paraId="1440BAAE" w14:textId="77777777" w:rsidR="00383A47" w:rsidRDefault="00383A47">
      <w:pPr>
        <w:rPr>
          <w:rFonts w:ascii="Arial" w:hAnsi="Arial" w:cs="Arial"/>
        </w:rPr>
      </w:pPr>
      <w:r>
        <w:rPr>
          <w:rFonts w:ascii="Arial" w:hAnsi="Arial" w:cs="Arial"/>
        </w:rPr>
        <w:br w:type="page"/>
      </w:r>
    </w:p>
    <w:p w14:paraId="61862E74" w14:textId="2B3C066C" w:rsidR="00A2159A" w:rsidRPr="00915031" w:rsidRDefault="00A2159A" w:rsidP="00A2159A">
      <w:pPr>
        <w:spacing w:after="0" w:line="240" w:lineRule="auto"/>
        <w:ind w:right="90"/>
        <w:jc w:val="both"/>
        <w:rPr>
          <w:rFonts w:ascii="Arial" w:hAnsi="Arial" w:cs="Arial"/>
        </w:rPr>
      </w:pPr>
      <w:r w:rsidRPr="00915031">
        <w:rPr>
          <w:rFonts w:ascii="Arial" w:hAnsi="Arial" w:cs="Arial"/>
        </w:rPr>
        <w:lastRenderedPageBreak/>
        <w:t xml:space="preserve">Georgia Aquarium’s IACUC has an open door policy and suggests that staff, volunteers, and research colleagues share their questions, concerns, suggestions, or complaints with the IACUC Compliance Officer </w:t>
      </w:r>
      <w:r w:rsidR="008B67B5">
        <w:rPr>
          <w:rFonts w:ascii="Arial" w:hAnsi="Arial" w:cs="Arial"/>
        </w:rPr>
        <w:t xml:space="preserve">or another member of the IACUC </w:t>
      </w:r>
      <w:r w:rsidRPr="00915031">
        <w:rPr>
          <w:rFonts w:ascii="Arial" w:hAnsi="Arial" w:cs="Arial"/>
        </w:rPr>
        <w:t>(</w:t>
      </w:r>
      <w:hyperlink r:id="rId12" w:history="1">
        <w:r w:rsidRPr="00915031">
          <w:rPr>
            <w:rStyle w:val="Hyperlink"/>
            <w:rFonts w:ascii="Arial" w:hAnsi="Arial" w:cs="Arial"/>
          </w:rPr>
          <w:t>iacuc@georgiaaquarium.org</w:t>
        </w:r>
      </w:hyperlink>
      <w:r w:rsidRPr="00915031">
        <w:rPr>
          <w:rFonts w:ascii="Arial" w:hAnsi="Arial" w:cs="Arial"/>
        </w:rPr>
        <w:t xml:space="preserve">). The IACUC Compliance Officer is available for in-person discussion, telephone, or electronic communications. If you are not comfortable speaking directly to the IACUC Compliance Officer, reports can be made anonymously through IACUC’s </w:t>
      </w:r>
      <w:hyperlink r:id="rId13" w:history="1">
        <w:r w:rsidRPr="00BC25F2">
          <w:rPr>
            <w:rStyle w:val="Hyperlink"/>
            <w:rFonts w:ascii="Arial" w:hAnsi="Arial" w:cs="Arial"/>
          </w:rPr>
          <w:t>online reporting system</w:t>
        </w:r>
      </w:hyperlink>
      <w:r w:rsidRPr="00915031">
        <w:rPr>
          <w:rFonts w:ascii="Arial" w:hAnsi="Arial" w:cs="Arial"/>
        </w:rPr>
        <w:t xml:space="preserve">. </w:t>
      </w:r>
    </w:p>
    <w:p w14:paraId="73B0F9FF" w14:textId="211CAF37" w:rsidR="00A2159A" w:rsidRPr="00915031" w:rsidRDefault="007F65CD" w:rsidP="007F65CD">
      <w:pPr>
        <w:tabs>
          <w:tab w:val="left" w:pos="1250"/>
        </w:tabs>
        <w:spacing w:after="0" w:line="240" w:lineRule="auto"/>
        <w:ind w:right="90"/>
        <w:jc w:val="both"/>
        <w:rPr>
          <w:rFonts w:ascii="Arial" w:hAnsi="Arial" w:cs="Arial"/>
        </w:rPr>
      </w:pPr>
      <w:r w:rsidRPr="00915031">
        <w:rPr>
          <w:rFonts w:ascii="Arial" w:hAnsi="Arial" w:cs="Arial"/>
        </w:rPr>
        <w:tab/>
      </w:r>
    </w:p>
    <w:p w14:paraId="67738E04" w14:textId="77777777" w:rsidR="00A2159A" w:rsidRPr="00915031" w:rsidRDefault="00A2159A" w:rsidP="00A2159A">
      <w:pPr>
        <w:spacing w:after="0" w:line="240" w:lineRule="auto"/>
        <w:ind w:right="90"/>
        <w:jc w:val="both"/>
        <w:rPr>
          <w:rFonts w:ascii="Arial" w:hAnsi="Arial" w:cs="Arial"/>
        </w:rPr>
      </w:pPr>
      <w:r w:rsidRPr="00915031">
        <w:rPr>
          <w:rFonts w:ascii="Arial" w:hAnsi="Arial" w:cs="Arial"/>
        </w:rPr>
        <w:t>The IACUC Compliance Officer, in collaboration with the IACUC and Animal Welfare Committee, is responsible for ensuring that all complains about deviations from approved research protocols, animal welfare, and/or miscellaneous activities are investigated and resolved. The IACUC Compliance Officer will advise the IACUC and/or the Animal Welfare Committee of any complaints and their resolution will be reported at the next IACUC meeting following said resolution.</w:t>
      </w:r>
    </w:p>
    <w:p w14:paraId="571C1C53" w14:textId="77777777" w:rsidR="00A2159A" w:rsidRPr="00915031" w:rsidRDefault="00A2159A" w:rsidP="00A2159A">
      <w:pPr>
        <w:spacing w:after="0" w:line="240" w:lineRule="auto"/>
        <w:ind w:right="90"/>
        <w:jc w:val="both"/>
        <w:rPr>
          <w:rFonts w:ascii="Arial" w:hAnsi="Arial" w:cs="Arial"/>
        </w:rPr>
      </w:pPr>
    </w:p>
    <w:p w14:paraId="6C777311" w14:textId="77777777" w:rsidR="00A2159A" w:rsidRPr="00915031" w:rsidRDefault="00A2159A" w:rsidP="00A2159A">
      <w:pPr>
        <w:spacing w:after="0" w:line="240" w:lineRule="auto"/>
        <w:ind w:right="90"/>
        <w:jc w:val="both"/>
        <w:rPr>
          <w:rFonts w:ascii="Arial" w:hAnsi="Arial" w:cs="Arial"/>
        </w:rPr>
      </w:pPr>
      <w:r w:rsidRPr="00915031">
        <w:rPr>
          <w:rFonts w:ascii="Arial" w:hAnsi="Arial" w:cs="Arial"/>
        </w:rPr>
        <w:t>Anyone filing a written complaint concerning a deviation or suspected deviation must be acting in good faith and have reasonable grounds for believing the information disclosed indicates a deviation. Any allegations that prove not to be substantiated and which prove to have been made maliciously or knowingly to be false may be subjected to penalties outlined in Georgia Aquarium’s Employee Handbook as a violation of Georgia Aquarium’s Code of Conduct or industry best practices.</w:t>
      </w:r>
    </w:p>
    <w:p w14:paraId="3D8647FD" w14:textId="77777777" w:rsidR="00A2159A" w:rsidRPr="00915031" w:rsidRDefault="00A2159A" w:rsidP="00A2159A">
      <w:pPr>
        <w:spacing w:after="0" w:line="240" w:lineRule="auto"/>
        <w:ind w:right="90"/>
        <w:jc w:val="both"/>
        <w:rPr>
          <w:rFonts w:ascii="Arial" w:hAnsi="Arial" w:cs="Arial"/>
        </w:rPr>
      </w:pPr>
    </w:p>
    <w:p w14:paraId="638495A4" w14:textId="77777777" w:rsidR="00A2159A" w:rsidRPr="00915031" w:rsidRDefault="00A2159A" w:rsidP="00A2159A">
      <w:pPr>
        <w:spacing w:after="0" w:line="240" w:lineRule="auto"/>
        <w:ind w:right="90"/>
        <w:jc w:val="both"/>
        <w:rPr>
          <w:rFonts w:ascii="Arial" w:hAnsi="Arial" w:cs="Arial"/>
        </w:rPr>
      </w:pPr>
      <w:r w:rsidRPr="00915031">
        <w:rPr>
          <w:rFonts w:ascii="Arial" w:hAnsi="Arial" w:cs="Arial"/>
        </w:rPr>
        <w:t>Deviations or suspected deviations may be submitted on a confidential basis by the complainant. Reports of deviations or suspected deviations will be kept confidential to the extent possible, consistent with the need to conduct an adequate investigation. Personal information of all whistleblowers will be redacted before being presented to the IACUC, Animal Welfare Committee, or any other necessary party.</w:t>
      </w:r>
    </w:p>
    <w:p w14:paraId="706DA185" w14:textId="77777777" w:rsidR="00A2159A" w:rsidRPr="00915031" w:rsidRDefault="00A2159A" w:rsidP="00A2159A">
      <w:pPr>
        <w:spacing w:after="0" w:line="240" w:lineRule="auto"/>
        <w:ind w:right="90"/>
        <w:jc w:val="both"/>
        <w:rPr>
          <w:rFonts w:ascii="Arial" w:hAnsi="Arial" w:cs="Arial"/>
        </w:rPr>
      </w:pPr>
    </w:p>
    <w:p w14:paraId="2EF6D815" w14:textId="6FDAD89A" w:rsidR="00A2159A" w:rsidRDefault="00A2159A" w:rsidP="00A0145E">
      <w:pPr>
        <w:spacing w:after="0" w:line="240" w:lineRule="auto"/>
        <w:ind w:right="90"/>
        <w:jc w:val="both"/>
        <w:rPr>
          <w:rFonts w:ascii="Arial" w:hAnsi="Arial" w:cs="Arial"/>
        </w:rPr>
      </w:pPr>
      <w:r w:rsidRPr="00915031">
        <w:rPr>
          <w:rFonts w:ascii="Arial" w:hAnsi="Arial" w:cs="Arial"/>
        </w:rPr>
        <w:t>The IACUC Compliance Officer will notify the person who submitted a complaint (unless submitted anonymously) and acknowledge receipt of the reported deviation or suspected deviation. All reports will be promptly investigated, and appropriate corrective action will be taken if warranted by the investigation.</w:t>
      </w:r>
    </w:p>
    <w:p w14:paraId="5C82F5CB" w14:textId="77777777" w:rsidR="00A0145E" w:rsidRPr="00A0145E" w:rsidRDefault="00A0145E" w:rsidP="00A0145E">
      <w:pPr>
        <w:spacing w:after="0" w:line="240" w:lineRule="auto"/>
        <w:ind w:right="90"/>
        <w:jc w:val="both"/>
        <w:rPr>
          <w:rFonts w:ascii="Arial" w:hAnsi="Arial" w:cs="Arial"/>
        </w:rPr>
      </w:pPr>
    </w:p>
    <w:p w14:paraId="4ECC5F44" w14:textId="77777777" w:rsidR="00A2159A" w:rsidRPr="00915031" w:rsidRDefault="00A2159A" w:rsidP="00A2159A">
      <w:pPr>
        <w:jc w:val="both"/>
        <w:rPr>
          <w:rFonts w:ascii="Arial" w:hAnsi="Arial" w:cs="Arial"/>
          <w:b/>
        </w:rPr>
      </w:pPr>
      <w:r w:rsidRPr="00915031">
        <w:rPr>
          <w:rFonts w:ascii="Arial" w:hAnsi="Arial" w:cs="Arial"/>
          <w:b/>
        </w:rPr>
        <w:t>6. Confirmation</w:t>
      </w:r>
    </w:p>
    <w:p w14:paraId="116F920A" w14:textId="3B5665B6" w:rsidR="00A2159A" w:rsidRPr="00915031" w:rsidRDefault="00A2159A" w:rsidP="00A2159A">
      <w:pPr>
        <w:jc w:val="both"/>
        <w:rPr>
          <w:rFonts w:ascii="Arial" w:hAnsi="Arial" w:cs="Arial"/>
          <w:bCs/>
        </w:rPr>
      </w:pPr>
      <w:r w:rsidRPr="00915031">
        <w:rPr>
          <w:rFonts w:ascii="Arial" w:hAnsi="Arial" w:cs="Arial"/>
          <w:bCs/>
        </w:rPr>
        <w:t>I hereby agree to the terms and conditions noted in this Liability and Agreement Waiver. I understand that failure to conduct activities related to this approved protocol appropriately may result in corrective actions, including but not limited to, individual suspension from work, suspension of protocol, withdrawal of support, or employment termination.</w:t>
      </w:r>
    </w:p>
    <w:tbl>
      <w:tblPr>
        <w:tblStyle w:val="TableGrid"/>
        <w:tblW w:w="0" w:type="auto"/>
        <w:tblLook w:val="04A0" w:firstRow="1" w:lastRow="0" w:firstColumn="1" w:lastColumn="0" w:noHBand="0" w:noVBand="1"/>
      </w:tblPr>
      <w:tblGrid>
        <w:gridCol w:w="11510"/>
      </w:tblGrid>
      <w:tr w:rsidR="00A2159A" w:rsidRPr="00915031" w14:paraId="1F6123D6" w14:textId="77777777" w:rsidTr="00A2159A">
        <w:tc>
          <w:tcPr>
            <w:tcW w:w="11510" w:type="dxa"/>
          </w:tcPr>
          <w:p w14:paraId="18A94B63" w14:textId="77777777" w:rsidR="00A2159A" w:rsidRPr="00915031" w:rsidRDefault="00A2159A" w:rsidP="00A2159A">
            <w:pPr>
              <w:jc w:val="both"/>
              <w:rPr>
                <w:rFonts w:ascii="Arial" w:hAnsi="Arial" w:cs="Arial"/>
                <w:bCs/>
                <w:sz w:val="6"/>
                <w:szCs w:val="6"/>
              </w:rPr>
            </w:pPr>
          </w:p>
          <w:tbl>
            <w:tblPr>
              <w:tblStyle w:val="TableGrid"/>
              <w:tblW w:w="0" w:type="auto"/>
              <w:tblLook w:val="04A0" w:firstRow="1" w:lastRow="0" w:firstColumn="1" w:lastColumn="0" w:noHBand="0" w:noVBand="1"/>
            </w:tblPr>
            <w:tblGrid>
              <w:gridCol w:w="3035"/>
              <w:gridCol w:w="2759"/>
              <w:gridCol w:w="502"/>
              <w:gridCol w:w="931"/>
              <w:gridCol w:w="38"/>
              <w:gridCol w:w="90"/>
              <w:gridCol w:w="412"/>
              <w:gridCol w:w="90"/>
              <w:gridCol w:w="848"/>
              <w:gridCol w:w="1603"/>
              <w:gridCol w:w="820"/>
              <w:gridCol w:w="59"/>
              <w:gridCol w:w="59"/>
            </w:tblGrid>
            <w:tr w:rsidR="007F65CD" w:rsidRPr="00915031" w14:paraId="0C1FD590" w14:textId="77777777" w:rsidTr="004D21CE">
              <w:tc>
                <w:tcPr>
                  <w:tcW w:w="3035" w:type="dxa"/>
                  <w:tcBorders>
                    <w:top w:val="nil"/>
                    <w:left w:val="nil"/>
                    <w:bottom w:val="nil"/>
                    <w:right w:val="nil"/>
                  </w:tcBorders>
                </w:tcPr>
                <w:p w14:paraId="4A9FCDF8" w14:textId="5036BAB3" w:rsidR="007F65CD" w:rsidRPr="00915031" w:rsidRDefault="007F65CD" w:rsidP="007F65CD">
                  <w:pPr>
                    <w:jc w:val="both"/>
                    <w:rPr>
                      <w:rFonts w:ascii="Arial" w:hAnsi="Arial" w:cs="Arial"/>
                      <w:bCs/>
                    </w:rPr>
                  </w:pPr>
                  <w:r w:rsidRPr="00915031">
                    <w:rPr>
                      <w:rFonts w:ascii="Arial" w:hAnsi="Arial" w:cs="Arial"/>
                    </w:rPr>
                    <w:t>Research Personnel Name:</w:t>
                  </w:r>
                </w:p>
              </w:tc>
              <w:tc>
                <w:tcPr>
                  <w:tcW w:w="4320" w:type="dxa"/>
                  <w:gridSpan w:val="5"/>
                  <w:tcBorders>
                    <w:top w:val="nil"/>
                    <w:left w:val="nil"/>
                    <w:bottom w:val="nil"/>
                    <w:right w:val="nil"/>
                  </w:tcBorders>
                  <w:shd w:val="clear" w:color="auto" w:fill="DEEAF6" w:themeFill="accent5" w:themeFillTint="33"/>
                </w:tcPr>
                <w:p w14:paraId="6FAD8E2A" w14:textId="6069BF27" w:rsidR="007F65CD" w:rsidRPr="00915031" w:rsidRDefault="007F65CD" w:rsidP="007F65CD">
                  <w:pPr>
                    <w:jc w:val="both"/>
                    <w:rPr>
                      <w:rFonts w:ascii="Arial" w:hAnsi="Arial" w:cs="Arial"/>
                      <w:bCs/>
                    </w:rPr>
                  </w:pPr>
                  <w:r w:rsidRPr="00915031">
                    <w:rPr>
                      <w:rFonts w:ascii="Arial" w:hAnsi="Arial" w:cs="Arial"/>
                      <w:color w:val="0151A4"/>
                    </w:rPr>
                    <w:fldChar w:fldCharType="begin">
                      <w:ffData>
                        <w:name w:val=""/>
                        <w:enabled/>
                        <w:calcOnExit w:val="0"/>
                        <w:textInput/>
                      </w:ffData>
                    </w:fldChar>
                  </w:r>
                  <w:r w:rsidRPr="00915031">
                    <w:rPr>
                      <w:rFonts w:ascii="Arial" w:hAnsi="Arial" w:cs="Arial"/>
                      <w:color w:val="0151A4"/>
                    </w:rPr>
                    <w:instrText xml:space="preserve"> FORMTEXT </w:instrText>
                  </w:r>
                  <w:r w:rsidRPr="00915031">
                    <w:rPr>
                      <w:rFonts w:ascii="Arial" w:hAnsi="Arial" w:cs="Arial"/>
                      <w:color w:val="0151A4"/>
                    </w:rPr>
                  </w:r>
                  <w:r w:rsidRPr="00915031">
                    <w:rPr>
                      <w:rFonts w:ascii="Arial" w:hAnsi="Arial" w:cs="Arial"/>
                      <w:color w:val="0151A4"/>
                    </w:rPr>
                    <w:fldChar w:fldCharType="separate"/>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color w:val="0151A4"/>
                    </w:rPr>
                    <w:fldChar w:fldCharType="end"/>
                  </w:r>
                </w:p>
              </w:tc>
              <w:tc>
                <w:tcPr>
                  <w:tcW w:w="502" w:type="dxa"/>
                  <w:gridSpan w:val="2"/>
                  <w:tcBorders>
                    <w:top w:val="nil"/>
                    <w:left w:val="nil"/>
                    <w:bottom w:val="nil"/>
                    <w:right w:val="nil"/>
                  </w:tcBorders>
                </w:tcPr>
                <w:p w14:paraId="7033D0C0" w14:textId="77777777" w:rsidR="007F65CD" w:rsidRPr="00915031" w:rsidRDefault="007F65CD" w:rsidP="007F65CD">
                  <w:pPr>
                    <w:jc w:val="both"/>
                    <w:rPr>
                      <w:rFonts w:ascii="Arial" w:hAnsi="Arial" w:cs="Arial"/>
                      <w:bCs/>
                    </w:rPr>
                  </w:pPr>
                </w:p>
              </w:tc>
              <w:tc>
                <w:tcPr>
                  <w:tcW w:w="848" w:type="dxa"/>
                  <w:tcBorders>
                    <w:top w:val="nil"/>
                    <w:left w:val="nil"/>
                    <w:bottom w:val="nil"/>
                    <w:right w:val="nil"/>
                  </w:tcBorders>
                </w:tcPr>
                <w:p w14:paraId="0EDC3A62" w14:textId="10A804EA" w:rsidR="007F65CD" w:rsidRPr="00915031" w:rsidRDefault="007F65CD" w:rsidP="007F65CD">
                  <w:pPr>
                    <w:jc w:val="both"/>
                    <w:rPr>
                      <w:rFonts w:ascii="Arial" w:hAnsi="Arial" w:cs="Arial"/>
                      <w:bCs/>
                    </w:rPr>
                  </w:pPr>
                  <w:r w:rsidRPr="00915031">
                    <w:rPr>
                      <w:rFonts w:ascii="Arial" w:hAnsi="Arial" w:cs="Arial"/>
                    </w:rPr>
                    <w:t>Date:</w:t>
                  </w:r>
                </w:p>
              </w:tc>
              <w:tc>
                <w:tcPr>
                  <w:tcW w:w="2541" w:type="dxa"/>
                  <w:gridSpan w:val="4"/>
                  <w:tcBorders>
                    <w:top w:val="nil"/>
                    <w:left w:val="nil"/>
                    <w:bottom w:val="nil"/>
                    <w:right w:val="nil"/>
                  </w:tcBorders>
                  <w:shd w:val="clear" w:color="auto" w:fill="DEEAF6" w:themeFill="accent5" w:themeFillTint="33"/>
                </w:tcPr>
                <w:p w14:paraId="31B872FB" w14:textId="770FF242" w:rsidR="007F65CD" w:rsidRPr="00915031" w:rsidRDefault="007F65CD" w:rsidP="007F65CD">
                  <w:pPr>
                    <w:ind w:right="-60"/>
                    <w:jc w:val="both"/>
                    <w:rPr>
                      <w:rFonts w:ascii="Arial" w:hAnsi="Arial" w:cs="Arial"/>
                      <w:bCs/>
                    </w:rPr>
                  </w:pPr>
                  <w:r w:rsidRPr="00915031">
                    <w:rPr>
                      <w:rFonts w:ascii="Arial" w:hAnsi="Arial" w:cs="Arial"/>
                      <w:color w:val="0151A4"/>
                    </w:rPr>
                    <w:fldChar w:fldCharType="begin">
                      <w:ffData>
                        <w:name w:val=""/>
                        <w:enabled/>
                        <w:calcOnExit w:val="0"/>
                        <w:textInput/>
                      </w:ffData>
                    </w:fldChar>
                  </w:r>
                  <w:r w:rsidRPr="00915031">
                    <w:rPr>
                      <w:rFonts w:ascii="Arial" w:hAnsi="Arial" w:cs="Arial"/>
                      <w:color w:val="0151A4"/>
                    </w:rPr>
                    <w:instrText xml:space="preserve"> FORMTEXT </w:instrText>
                  </w:r>
                  <w:r w:rsidRPr="00915031">
                    <w:rPr>
                      <w:rFonts w:ascii="Arial" w:hAnsi="Arial" w:cs="Arial"/>
                      <w:color w:val="0151A4"/>
                    </w:rPr>
                  </w:r>
                  <w:r w:rsidRPr="00915031">
                    <w:rPr>
                      <w:rFonts w:ascii="Arial" w:hAnsi="Arial" w:cs="Arial"/>
                      <w:color w:val="0151A4"/>
                    </w:rPr>
                    <w:fldChar w:fldCharType="separate"/>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color w:val="0151A4"/>
                    </w:rPr>
                    <w:fldChar w:fldCharType="end"/>
                  </w:r>
                </w:p>
              </w:tc>
            </w:tr>
            <w:tr w:rsidR="007F65CD" w:rsidRPr="00915031" w14:paraId="50C27417" w14:textId="77777777" w:rsidTr="007F65CD">
              <w:tc>
                <w:tcPr>
                  <w:tcW w:w="11246" w:type="dxa"/>
                  <w:gridSpan w:val="13"/>
                  <w:tcBorders>
                    <w:top w:val="nil"/>
                    <w:left w:val="nil"/>
                    <w:bottom w:val="nil"/>
                    <w:right w:val="nil"/>
                  </w:tcBorders>
                </w:tcPr>
                <w:p w14:paraId="331892BF" w14:textId="77777777" w:rsidR="007F65CD" w:rsidRPr="00915031" w:rsidRDefault="007F65CD" w:rsidP="007F65CD">
                  <w:pPr>
                    <w:ind w:right="-60"/>
                    <w:jc w:val="both"/>
                    <w:rPr>
                      <w:rFonts w:ascii="Arial" w:hAnsi="Arial" w:cs="Arial"/>
                      <w:bCs/>
                      <w:sz w:val="6"/>
                      <w:szCs w:val="6"/>
                    </w:rPr>
                  </w:pPr>
                </w:p>
              </w:tc>
            </w:tr>
            <w:tr w:rsidR="007F65CD" w:rsidRPr="00915031" w14:paraId="603359B5" w14:textId="77777777" w:rsidTr="004D21CE">
              <w:trPr>
                <w:gridAfter w:val="1"/>
                <w:wAfter w:w="59" w:type="dxa"/>
              </w:trPr>
              <w:tc>
                <w:tcPr>
                  <w:tcW w:w="3035" w:type="dxa"/>
                  <w:tcBorders>
                    <w:top w:val="nil"/>
                    <w:left w:val="nil"/>
                    <w:bottom w:val="nil"/>
                    <w:right w:val="nil"/>
                  </w:tcBorders>
                </w:tcPr>
                <w:p w14:paraId="4EEC73DE" w14:textId="1B22C33B" w:rsidR="007F65CD" w:rsidRPr="00915031" w:rsidRDefault="007F65CD" w:rsidP="00A2159A">
                  <w:pPr>
                    <w:jc w:val="both"/>
                    <w:rPr>
                      <w:rFonts w:ascii="Arial" w:hAnsi="Arial" w:cs="Arial"/>
                      <w:bCs/>
                    </w:rPr>
                  </w:pPr>
                  <w:r w:rsidRPr="00915031">
                    <w:rPr>
                      <w:rFonts w:ascii="Arial" w:hAnsi="Arial" w:cs="Arial"/>
                      <w:bCs/>
                    </w:rPr>
                    <w:t>GAI Position or Affiliation:</w:t>
                  </w:r>
                </w:p>
              </w:tc>
              <w:tc>
                <w:tcPr>
                  <w:tcW w:w="2759" w:type="dxa"/>
                  <w:tcBorders>
                    <w:top w:val="nil"/>
                    <w:left w:val="nil"/>
                    <w:bottom w:val="nil"/>
                    <w:right w:val="nil"/>
                  </w:tcBorders>
                  <w:shd w:val="clear" w:color="auto" w:fill="DEEAF6" w:themeFill="accent5" w:themeFillTint="33"/>
                </w:tcPr>
                <w:p w14:paraId="6025D97F" w14:textId="0563D95E" w:rsidR="007F65CD" w:rsidRPr="00915031" w:rsidRDefault="007F65CD" w:rsidP="00A2159A">
                  <w:pPr>
                    <w:jc w:val="both"/>
                    <w:rPr>
                      <w:rFonts w:ascii="Arial" w:hAnsi="Arial" w:cs="Arial"/>
                      <w:bCs/>
                    </w:rPr>
                  </w:pPr>
                  <w:r w:rsidRPr="00915031">
                    <w:rPr>
                      <w:rFonts w:ascii="Arial" w:hAnsi="Arial" w:cs="Arial"/>
                      <w:color w:val="0151A4"/>
                    </w:rPr>
                    <w:fldChar w:fldCharType="begin">
                      <w:ffData>
                        <w:name w:val=""/>
                        <w:enabled/>
                        <w:calcOnExit w:val="0"/>
                        <w:textInput/>
                      </w:ffData>
                    </w:fldChar>
                  </w:r>
                  <w:r w:rsidRPr="00915031">
                    <w:rPr>
                      <w:rFonts w:ascii="Arial" w:hAnsi="Arial" w:cs="Arial"/>
                      <w:color w:val="0151A4"/>
                    </w:rPr>
                    <w:instrText xml:space="preserve"> FORMTEXT </w:instrText>
                  </w:r>
                  <w:r w:rsidRPr="00915031">
                    <w:rPr>
                      <w:rFonts w:ascii="Arial" w:hAnsi="Arial" w:cs="Arial"/>
                      <w:color w:val="0151A4"/>
                    </w:rPr>
                  </w:r>
                  <w:r w:rsidRPr="00915031">
                    <w:rPr>
                      <w:rFonts w:ascii="Arial" w:hAnsi="Arial" w:cs="Arial"/>
                      <w:color w:val="0151A4"/>
                    </w:rPr>
                    <w:fldChar w:fldCharType="separate"/>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color w:val="0151A4"/>
                    </w:rPr>
                    <w:fldChar w:fldCharType="end"/>
                  </w:r>
                </w:p>
              </w:tc>
              <w:tc>
                <w:tcPr>
                  <w:tcW w:w="502" w:type="dxa"/>
                  <w:tcBorders>
                    <w:top w:val="nil"/>
                    <w:left w:val="nil"/>
                    <w:bottom w:val="nil"/>
                    <w:right w:val="nil"/>
                  </w:tcBorders>
                </w:tcPr>
                <w:p w14:paraId="2715D2C7" w14:textId="77777777" w:rsidR="007F65CD" w:rsidRPr="00915031" w:rsidRDefault="007F65CD" w:rsidP="00A2159A">
                  <w:pPr>
                    <w:jc w:val="both"/>
                    <w:rPr>
                      <w:rFonts w:ascii="Arial" w:hAnsi="Arial" w:cs="Arial"/>
                      <w:bCs/>
                    </w:rPr>
                  </w:pPr>
                </w:p>
              </w:tc>
              <w:tc>
                <w:tcPr>
                  <w:tcW w:w="931" w:type="dxa"/>
                  <w:tcBorders>
                    <w:top w:val="nil"/>
                    <w:left w:val="nil"/>
                    <w:bottom w:val="nil"/>
                    <w:right w:val="nil"/>
                  </w:tcBorders>
                </w:tcPr>
                <w:p w14:paraId="0B43D684" w14:textId="39152131" w:rsidR="007F65CD" w:rsidRPr="00915031" w:rsidRDefault="007F65CD" w:rsidP="00A2159A">
                  <w:pPr>
                    <w:jc w:val="both"/>
                    <w:rPr>
                      <w:rFonts w:ascii="Arial" w:hAnsi="Arial" w:cs="Arial"/>
                      <w:bCs/>
                    </w:rPr>
                  </w:pPr>
                  <w:r w:rsidRPr="00915031">
                    <w:rPr>
                      <w:rFonts w:ascii="Arial" w:hAnsi="Arial" w:cs="Arial"/>
                    </w:rPr>
                    <w:t>E-Mail:</w:t>
                  </w:r>
                </w:p>
              </w:tc>
              <w:tc>
                <w:tcPr>
                  <w:tcW w:w="3960" w:type="dxa"/>
                  <w:gridSpan w:val="8"/>
                  <w:tcBorders>
                    <w:top w:val="nil"/>
                    <w:left w:val="nil"/>
                    <w:bottom w:val="nil"/>
                    <w:right w:val="nil"/>
                  </w:tcBorders>
                  <w:shd w:val="clear" w:color="auto" w:fill="DEEAF6" w:themeFill="accent5" w:themeFillTint="33"/>
                </w:tcPr>
                <w:p w14:paraId="44893E99" w14:textId="4AB5EFCE" w:rsidR="007F65CD" w:rsidRPr="00915031" w:rsidRDefault="007F65CD" w:rsidP="007F65CD">
                  <w:pPr>
                    <w:ind w:right="-60"/>
                    <w:jc w:val="both"/>
                    <w:rPr>
                      <w:rFonts w:ascii="Arial" w:hAnsi="Arial" w:cs="Arial"/>
                      <w:bCs/>
                    </w:rPr>
                  </w:pPr>
                  <w:r w:rsidRPr="00915031">
                    <w:rPr>
                      <w:rFonts w:ascii="Arial" w:hAnsi="Arial" w:cs="Arial"/>
                      <w:color w:val="0151A4"/>
                    </w:rPr>
                    <w:fldChar w:fldCharType="begin">
                      <w:ffData>
                        <w:name w:val=""/>
                        <w:enabled/>
                        <w:calcOnExit w:val="0"/>
                        <w:textInput/>
                      </w:ffData>
                    </w:fldChar>
                  </w:r>
                  <w:r w:rsidRPr="00915031">
                    <w:rPr>
                      <w:rFonts w:ascii="Arial" w:hAnsi="Arial" w:cs="Arial"/>
                      <w:color w:val="0151A4"/>
                    </w:rPr>
                    <w:instrText xml:space="preserve"> FORMTEXT </w:instrText>
                  </w:r>
                  <w:r w:rsidRPr="00915031">
                    <w:rPr>
                      <w:rFonts w:ascii="Arial" w:hAnsi="Arial" w:cs="Arial"/>
                      <w:color w:val="0151A4"/>
                    </w:rPr>
                  </w:r>
                  <w:r w:rsidRPr="00915031">
                    <w:rPr>
                      <w:rFonts w:ascii="Arial" w:hAnsi="Arial" w:cs="Arial"/>
                      <w:color w:val="0151A4"/>
                    </w:rPr>
                    <w:fldChar w:fldCharType="separate"/>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color w:val="0151A4"/>
                    </w:rPr>
                    <w:fldChar w:fldCharType="end"/>
                  </w:r>
                </w:p>
              </w:tc>
            </w:tr>
            <w:tr w:rsidR="007F65CD" w:rsidRPr="00915031" w14:paraId="6224711F" w14:textId="77777777" w:rsidTr="007F65CD">
              <w:trPr>
                <w:gridAfter w:val="3"/>
                <w:wAfter w:w="938" w:type="dxa"/>
              </w:trPr>
              <w:tc>
                <w:tcPr>
                  <w:tcW w:w="10308" w:type="dxa"/>
                  <w:gridSpan w:val="10"/>
                  <w:tcBorders>
                    <w:top w:val="nil"/>
                    <w:left w:val="nil"/>
                    <w:bottom w:val="nil"/>
                    <w:right w:val="nil"/>
                  </w:tcBorders>
                </w:tcPr>
                <w:p w14:paraId="06A0CEA6" w14:textId="77777777" w:rsidR="007F65CD" w:rsidRPr="00915031" w:rsidRDefault="007F65CD" w:rsidP="00A2159A">
                  <w:pPr>
                    <w:jc w:val="both"/>
                    <w:rPr>
                      <w:rFonts w:ascii="Arial" w:hAnsi="Arial" w:cs="Arial"/>
                      <w:bCs/>
                      <w:sz w:val="6"/>
                      <w:szCs w:val="6"/>
                    </w:rPr>
                  </w:pPr>
                </w:p>
              </w:tc>
            </w:tr>
            <w:tr w:rsidR="007F65CD" w:rsidRPr="00915031" w14:paraId="4A2D6BEA" w14:textId="77777777" w:rsidTr="007F65CD">
              <w:trPr>
                <w:gridAfter w:val="2"/>
                <w:wAfter w:w="118" w:type="dxa"/>
              </w:trPr>
              <w:tc>
                <w:tcPr>
                  <w:tcW w:w="7265" w:type="dxa"/>
                  <w:gridSpan w:val="5"/>
                  <w:tcBorders>
                    <w:top w:val="nil"/>
                    <w:left w:val="nil"/>
                    <w:bottom w:val="nil"/>
                    <w:right w:val="nil"/>
                  </w:tcBorders>
                </w:tcPr>
                <w:p w14:paraId="51B0CC30" w14:textId="48C2601F" w:rsidR="007F65CD" w:rsidRPr="00915031" w:rsidRDefault="007F65CD" w:rsidP="007F65CD">
                  <w:pPr>
                    <w:jc w:val="both"/>
                    <w:rPr>
                      <w:rFonts w:ascii="Arial" w:hAnsi="Arial" w:cs="Arial"/>
                      <w:bCs/>
                    </w:rPr>
                  </w:pPr>
                  <w:r w:rsidRPr="00915031">
                    <w:rPr>
                      <w:rFonts w:ascii="Arial" w:hAnsi="Arial" w:cs="Arial"/>
                    </w:rPr>
                    <w:t>Summary of Work Performed Under Protocol:</w:t>
                  </w:r>
                </w:p>
              </w:tc>
              <w:tc>
                <w:tcPr>
                  <w:tcW w:w="502" w:type="dxa"/>
                  <w:gridSpan w:val="2"/>
                  <w:tcBorders>
                    <w:top w:val="nil"/>
                    <w:left w:val="nil"/>
                    <w:bottom w:val="nil"/>
                    <w:right w:val="nil"/>
                  </w:tcBorders>
                </w:tcPr>
                <w:p w14:paraId="06964062" w14:textId="77777777" w:rsidR="007F65CD" w:rsidRPr="00915031" w:rsidRDefault="007F65CD" w:rsidP="007F65CD">
                  <w:pPr>
                    <w:jc w:val="both"/>
                    <w:rPr>
                      <w:rFonts w:ascii="Arial" w:hAnsi="Arial" w:cs="Arial"/>
                      <w:bCs/>
                    </w:rPr>
                  </w:pPr>
                </w:p>
              </w:tc>
              <w:tc>
                <w:tcPr>
                  <w:tcW w:w="3361" w:type="dxa"/>
                  <w:gridSpan w:val="4"/>
                  <w:tcBorders>
                    <w:top w:val="nil"/>
                    <w:left w:val="nil"/>
                    <w:bottom w:val="nil"/>
                    <w:right w:val="nil"/>
                  </w:tcBorders>
                </w:tcPr>
                <w:p w14:paraId="5BD65FFE" w14:textId="74674A5E" w:rsidR="007F65CD" w:rsidRPr="00915031" w:rsidRDefault="007F65CD" w:rsidP="007F65CD">
                  <w:pPr>
                    <w:jc w:val="both"/>
                    <w:rPr>
                      <w:rFonts w:ascii="Arial" w:hAnsi="Arial" w:cs="Arial"/>
                      <w:bCs/>
                    </w:rPr>
                  </w:pPr>
                  <w:r w:rsidRPr="00915031">
                    <w:rPr>
                      <w:rFonts w:ascii="Arial" w:hAnsi="Arial" w:cs="Arial"/>
                    </w:rPr>
                    <w:t>Research Personnel Signature:</w:t>
                  </w:r>
                </w:p>
              </w:tc>
            </w:tr>
            <w:tr w:rsidR="007F65CD" w:rsidRPr="00915031" w14:paraId="537D5F48" w14:textId="77777777" w:rsidTr="007F65CD">
              <w:trPr>
                <w:gridAfter w:val="2"/>
                <w:wAfter w:w="118" w:type="dxa"/>
              </w:trPr>
              <w:tc>
                <w:tcPr>
                  <w:tcW w:w="7265" w:type="dxa"/>
                  <w:gridSpan w:val="5"/>
                  <w:tcBorders>
                    <w:top w:val="nil"/>
                    <w:left w:val="nil"/>
                    <w:bottom w:val="nil"/>
                    <w:right w:val="nil"/>
                  </w:tcBorders>
                  <w:shd w:val="clear" w:color="auto" w:fill="FFFFFF" w:themeFill="background1"/>
                </w:tcPr>
                <w:p w14:paraId="24C5EC6A" w14:textId="77777777" w:rsidR="007F65CD" w:rsidRPr="00915031" w:rsidRDefault="007F65CD" w:rsidP="00A2159A">
                  <w:pPr>
                    <w:jc w:val="both"/>
                    <w:rPr>
                      <w:rFonts w:ascii="Arial" w:hAnsi="Arial" w:cs="Arial"/>
                      <w:color w:val="0151A4"/>
                      <w:sz w:val="6"/>
                      <w:szCs w:val="6"/>
                    </w:rPr>
                  </w:pPr>
                </w:p>
              </w:tc>
              <w:tc>
                <w:tcPr>
                  <w:tcW w:w="502" w:type="dxa"/>
                  <w:gridSpan w:val="2"/>
                  <w:tcBorders>
                    <w:top w:val="nil"/>
                    <w:left w:val="nil"/>
                    <w:bottom w:val="nil"/>
                    <w:right w:val="nil"/>
                  </w:tcBorders>
                  <w:shd w:val="clear" w:color="auto" w:fill="FFFFFF" w:themeFill="background1"/>
                </w:tcPr>
                <w:p w14:paraId="580B5667" w14:textId="77777777" w:rsidR="007F65CD" w:rsidRPr="00915031" w:rsidRDefault="007F65CD" w:rsidP="00A2159A">
                  <w:pPr>
                    <w:jc w:val="both"/>
                    <w:rPr>
                      <w:rFonts w:ascii="Arial" w:hAnsi="Arial" w:cs="Arial"/>
                      <w:bCs/>
                      <w:sz w:val="6"/>
                      <w:szCs w:val="6"/>
                    </w:rPr>
                  </w:pPr>
                </w:p>
              </w:tc>
              <w:tc>
                <w:tcPr>
                  <w:tcW w:w="3361" w:type="dxa"/>
                  <w:gridSpan w:val="4"/>
                  <w:tcBorders>
                    <w:top w:val="nil"/>
                    <w:left w:val="nil"/>
                    <w:bottom w:val="nil"/>
                    <w:right w:val="nil"/>
                  </w:tcBorders>
                  <w:shd w:val="clear" w:color="auto" w:fill="FFFFFF" w:themeFill="background1"/>
                </w:tcPr>
                <w:p w14:paraId="45FE9A97" w14:textId="77777777" w:rsidR="007F65CD" w:rsidRPr="00915031" w:rsidRDefault="007F65CD" w:rsidP="00A2159A">
                  <w:pPr>
                    <w:jc w:val="both"/>
                    <w:rPr>
                      <w:rFonts w:ascii="Arial" w:hAnsi="Arial" w:cs="Arial"/>
                      <w:b/>
                      <w:bCs/>
                      <w:sz w:val="6"/>
                      <w:szCs w:val="6"/>
                    </w:rPr>
                  </w:pPr>
                </w:p>
              </w:tc>
            </w:tr>
            <w:tr w:rsidR="007F65CD" w:rsidRPr="00915031" w14:paraId="6DAF3DC1" w14:textId="77777777" w:rsidTr="007F65CD">
              <w:trPr>
                <w:gridAfter w:val="2"/>
                <w:wAfter w:w="118" w:type="dxa"/>
              </w:trPr>
              <w:tc>
                <w:tcPr>
                  <w:tcW w:w="7265" w:type="dxa"/>
                  <w:gridSpan w:val="5"/>
                  <w:tcBorders>
                    <w:top w:val="nil"/>
                    <w:left w:val="nil"/>
                    <w:bottom w:val="nil"/>
                    <w:right w:val="nil"/>
                  </w:tcBorders>
                  <w:shd w:val="clear" w:color="auto" w:fill="DEEAF6" w:themeFill="accent5" w:themeFillTint="33"/>
                </w:tcPr>
                <w:p w14:paraId="324A0365" w14:textId="6825EA20" w:rsidR="007F65CD" w:rsidRPr="00915031" w:rsidRDefault="007F65CD" w:rsidP="00A2159A">
                  <w:pPr>
                    <w:jc w:val="both"/>
                    <w:rPr>
                      <w:rFonts w:ascii="Arial" w:hAnsi="Arial" w:cs="Arial"/>
                      <w:bCs/>
                    </w:rPr>
                  </w:pPr>
                  <w:r w:rsidRPr="00915031">
                    <w:rPr>
                      <w:rFonts w:ascii="Arial" w:hAnsi="Arial" w:cs="Arial"/>
                      <w:color w:val="0151A4"/>
                    </w:rPr>
                    <w:fldChar w:fldCharType="begin">
                      <w:ffData>
                        <w:name w:val=""/>
                        <w:enabled/>
                        <w:calcOnExit w:val="0"/>
                        <w:textInput/>
                      </w:ffData>
                    </w:fldChar>
                  </w:r>
                  <w:r w:rsidRPr="00915031">
                    <w:rPr>
                      <w:rFonts w:ascii="Arial" w:hAnsi="Arial" w:cs="Arial"/>
                      <w:color w:val="0151A4"/>
                    </w:rPr>
                    <w:instrText xml:space="preserve"> FORMTEXT </w:instrText>
                  </w:r>
                  <w:r w:rsidRPr="00915031">
                    <w:rPr>
                      <w:rFonts w:ascii="Arial" w:hAnsi="Arial" w:cs="Arial"/>
                      <w:color w:val="0151A4"/>
                    </w:rPr>
                  </w:r>
                  <w:r w:rsidRPr="00915031">
                    <w:rPr>
                      <w:rFonts w:ascii="Arial" w:hAnsi="Arial" w:cs="Arial"/>
                      <w:color w:val="0151A4"/>
                    </w:rPr>
                    <w:fldChar w:fldCharType="separate"/>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noProof/>
                      <w:color w:val="0151A4"/>
                    </w:rPr>
                    <w:t> </w:t>
                  </w:r>
                  <w:r w:rsidRPr="00915031">
                    <w:rPr>
                      <w:rFonts w:ascii="Arial" w:hAnsi="Arial" w:cs="Arial"/>
                      <w:color w:val="0151A4"/>
                    </w:rPr>
                    <w:fldChar w:fldCharType="end"/>
                  </w:r>
                </w:p>
              </w:tc>
              <w:tc>
                <w:tcPr>
                  <w:tcW w:w="502" w:type="dxa"/>
                  <w:gridSpan w:val="2"/>
                  <w:tcBorders>
                    <w:top w:val="nil"/>
                    <w:left w:val="nil"/>
                    <w:bottom w:val="nil"/>
                    <w:right w:val="nil"/>
                  </w:tcBorders>
                </w:tcPr>
                <w:p w14:paraId="5C7101EC" w14:textId="77777777" w:rsidR="007F65CD" w:rsidRPr="00915031" w:rsidRDefault="007F65CD" w:rsidP="00A2159A">
                  <w:pPr>
                    <w:jc w:val="both"/>
                    <w:rPr>
                      <w:rFonts w:ascii="Arial" w:hAnsi="Arial" w:cs="Arial"/>
                      <w:bCs/>
                    </w:rPr>
                  </w:pPr>
                </w:p>
              </w:tc>
              <w:sdt>
                <w:sdtPr>
                  <w:rPr>
                    <w:rFonts w:ascii="Arial" w:hAnsi="Arial" w:cs="Arial"/>
                    <w:bCs/>
                  </w:rPr>
                  <w:id w:val="-42605926"/>
                  <w:showingPlcHdr/>
                  <w:picture/>
                </w:sdtPr>
                <w:sdtEndPr/>
                <w:sdtContent>
                  <w:tc>
                    <w:tcPr>
                      <w:tcW w:w="3361" w:type="dxa"/>
                      <w:gridSpan w:val="4"/>
                      <w:tcBorders>
                        <w:top w:val="nil"/>
                        <w:left w:val="nil"/>
                        <w:bottom w:val="nil"/>
                        <w:right w:val="nil"/>
                      </w:tcBorders>
                    </w:tcPr>
                    <w:p w14:paraId="65DD1659" w14:textId="38C48256" w:rsidR="007F65CD" w:rsidRPr="00915031" w:rsidRDefault="00370412" w:rsidP="00A2159A">
                      <w:pPr>
                        <w:jc w:val="both"/>
                        <w:rPr>
                          <w:rFonts w:ascii="Arial" w:hAnsi="Arial" w:cs="Arial"/>
                          <w:bCs/>
                        </w:rPr>
                      </w:pPr>
                      <w:r w:rsidRPr="00915031">
                        <w:rPr>
                          <w:rFonts w:ascii="Arial" w:hAnsi="Arial" w:cs="Arial"/>
                          <w:bCs/>
                          <w:noProof/>
                        </w:rPr>
                        <w:drawing>
                          <wp:inline distT="0" distB="0" distL="0" distR="0" wp14:anchorId="408ABF12" wp14:editId="513C3F2D">
                            <wp:extent cx="1892300"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0" cy="673100"/>
                                    </a:xfrm>
                                    <a:prstGeom prst="rect">
                                      <a:avLst/>
                                    </a:prstGeom>
                                    <a:noFill/>
                                    <a:ln>
                                      <a:noFill/>
                                    </a:ln>
                                  </pic:spPr>
                                </pic:pic>
                              </a:graphicData>
                            </a:graphic>
                          </wp:inline>
                        </w:drawing>
                      </w:r>
                    </w:p>
                  </w:tc>
                </w:sdtContent>
              </w:sdt>
            </w:tr>
            <w:tr w:rsidR="007F65CD" w:rsidRPr="00915031" w14:paraId="3090E66E" w14:textId="77777777" w:rsidTr="007F65CD">
              <w:trPr>
                <w:gridAfter w:val="3"/>
                <w:wAfter w:w="938" w:type="dxa"/>
              </w:trPr>
              <w:tc>
                <w:tcPr>
                  <w:tcW w:w="10308" w:type="dxa"/>
                  <w:gridSpan w:val="10"/>
                  <w:tcBorders>
                    <w:top w:val="nil"/>
                    <w:left w:val="nil"/>
                    <w:bottom w:val="nil"/>
                    <w:right w:val="nil"/>
                  </w:tcBorders>
                </w:tcPr>
                <w:p w14:paraId="5E099473" w14:textId="77777777" w:rsidR="007F65CD" w:rsidRPr="00915031" w:rsidRDefault="007F65CD" w:rsidP="00A2159A">
                  <w:pPr>
                    <w:jc w:val="both"/>
                    <w:rPr>
                      <w:rFonts w:ascii="Arial" w:hAnsi="Arial" w:cs="Arial"/>
                      <w:bCs/>
                      <w:sz w:val="6"/>
                      <w:szCs w:val="6"/>
                    </w:rPr>
                  </w:pPr>
                </w:p>
              </w:tc>
            </w:tr>
          </w:tbl>
          <w:p w14:paraId="4D505F34" w14:textId="31BDCFC9" w:rsidR="00A2159A" w:rsidRPr="00915031" w:rsidRDefault="00A2159A" w:rsidP="00A2159A">
            <w:pPr>
              <w:jc w:val="both"/>
              <w:rPr>
                <w:rFonts w:ascii="Arial" w:hAnsi="Arial" w:cs="Arial"/>
                <w:bCs/>
              </w:rPr>
            </w:pPr>
          </w:p>
        </w:tc>
      </w:tr>
    </w:tbl>
    <w:p w14:paraId="54696B64" w14:textId="77777777" w:rsidR="00A2159A" w:rsidRPr="00915031" w:rsidRDefault="00A2159A" w:rsidP="00A2159A">
      <w:pPr>
        <w:jc w:val="both"/>
        <w:rPr>
          <w:rFonts w:ascii="Arial" w:hAnsi="Arial" w:cs="Arial"/>
          <w:color w:val="FF0000"/>
          <w:highlight w:val="yellow"/>
        </w:rPr>
      </w:pPr>
    </w:p>
    <w:sectPr w:rsidR="00A2159A" w:rsidRPr="00915031" w:rsidSect="00E716A7">
      <w:headerReference w:type="default" r:id="rId15"/>
      <w:footerReference w:type="default" r:id="rId16"/>
      <w:headerReference w:type="first" r:id="rId17"/>
      <w:footerReference w:type="first" r:id="rId18"/>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6CD4" w14:textId="77777777" w:rsidR="003B446E" w:rsidRDefault="003B446E" w:rsidP="00FB2AFE">
      <w:pPr>
        <w:spacing w:after="0" w:line="240" w:lineRule="auto"/>
      </w:pPr>
      <w:r>
        <w:separator/>
      </w:r>
    </w:p>
  </w:endnote>
  <w:endnote w:type="continuationSeparator" w:id="0">
    <w:p w14:paraId="737BEB03" w14:textId="77777777" w:rsidR="003B446E" w:rsidRDefault="003B446E" w:rsidP="00FB2AFE">
      <w:pPr>
        <w:spacing w:after="0" w:line="240" w:lineRule="auto"/>
      </w:pPr>
      <w:r>
        <w:continuationSeparator/>
      </w:r>
    </w:p>
  </w:endnote>
  <w:endnote w:type="continuationNotice" w:id="1">
    <w:p w14:paraId="68FA59E5" w14:textId="77777777" w:rsidR="003B446E" w:rsidRDefault="003B4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444" w14:textId="4D40B331" w:rsidR="00EB155E" w:rsidRDefault="001F355D" w:rsidP="000126C8">
    <w:pPr>
      <w:pStyle w:val="Footer"/>
      <w:tabs>
        <w:tab w:val="clear" w:pos="9360"/>
        <w:tab w:val="right" w:pos="11250"/>
      </w:tabs>
    </w:pPr>
    <w:r>
      <w:t>G</w:t>
    </w:r>
    <w:r w:rsidR="00350C88">
      <w:t>AI</w:t>
    </w:r>
    <w:r>
      <w:t xml:space="preserve"> </w:t>
    </w:r>
    <w:r w:rsidR="00EB155E">
      <w:t xml:space="preserve">IACUC </w:t>
    </w:r>
    <w:r w:rsidR="007F65CD">
      <w:t>Liability Waiver</w:t>
    </w:r>
    <w:r w:rsidR="00EB155E">
      <w:tab/>
    </w:r>
    <w:r w:rsidR="00EB155E">
      <w:tab/>
    </w:r>
    <w:r w:rsidR="000126C8">
      <w:t xml:space="preserve">             </w:t>
    </w:r>
    <w:r w:rsidR="00A0145E">
      <w:t>June</w:t>
    </w:r>
    <w:r w:rsidR="00D2692D">
      <w:t xml:space="preserve"> </w:t>
    </w:r>
    <w:r w:rsidR="00117F30">
      <w:t>202</w:t>
    </w:r>
    <w:r w:rsidR="0014275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066" w14:textId="6B380AE1" w:rsidR="00E716A7" w:rsidRPr="00E716A7" w:rsidRDefault="000D5EBD" w:rsidP="00E716A7">
    <w:pPr>
      <w:pStyle w:val="Footer"/>
      <w:tabs>
        <w:tab w:val="clear" w:pos="9360"/>
        <w:tab w:val="right" w:pos="11250"/>
      </w:tabs>
    </w:pPr>
    <w:r>
      <w:t>G</w:t>
    </w:r>
    <w:r w:rsidR="00350C88">
      <w:t>AI</w:t>
    </w:r>
    <w:r>
      <w:t xml:space="preserve"> IACUC </w:t>
    </w:r>
    <w:r w:rsidR="007F65CD">
      <w:t>Liability Waiver</w:t>
    </w:r>
    <w:r w:rsidR="00E716A7">
      <w:tab/>
    </w:r>
    <w:r w:rsidR="00E716A7">
      <w:tab/>
      <w:t xml:space="preserve">             </w:t>
    </w:r>
    <w:r w:rsidR="00383A47">
      <w:t>June</w:t>
    </w:r>
    <w:r w:rsidR="00E716A7">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6DA4" w14:textId="77777777" w:rsidR="003B446E" w:rsidRDefault="003B446E" w:rsidP="00FB2AFE">
      <w:pPr>
        <w:spacing w:after="0" w:line="240" w:lineRule="auto"/>
      </w:pPr>
      <w:r>
        <w:separator/>
      </w:r>
    </w:p>
  </w:footnote>
  <w:footnote w:type="continuationSeparator" w:id="0">
    <w:p w14:paraId="7E91FA3E" w14:textId="77777777" w:rsidR="003B446E" w:rsidRDefault="003B446E" w:rsidP="00FB2AFE">
      <w:pPr>
        <w:spacing w:after="0" w:line="240" w:lineRule="auto"/>
      </w:pPr>
      <w:r>
        <w:continuationSeparator/>
      </w:r>
    </w:p>
  </w:footnote>
  <w:footnote w:type="continuationNotice" w:id="1">
    <w:p w14:paraId="6DDA1866" w14:textId="77777777" w:rsidR="003B446E" w:rsidRDefault="003B44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id w:val="-1318336367"/>
            <w:docPartObj>
              <w:docPartGallery w:val="Page Numbers (Top of Page)"/>
              <w:docPartUnique/>
            </w:docPartObj>
          </w:sdtPr>
          <w:sdtEndPr/>
          <w:sdtContent>
            <w:p w14:paraId="01B871F7" w14:textId="3BC4F50C" w:rsidR="0088032A" w:rsidRDefault="0088032A" w:rsidP="0088032A">
              <w:pPr>
                <w:pStyle w:val="Header"/>
                <w:jc w:val="right"/>
              </w:pPr>
              <w:r w:rsidRPr="0088032A">
                <w:t xml:space="preserve">Page </w:t>
              </w:r>
              <w:r w:rsidRPr="0088032A">
                <w:rPr>
                  <w:sz w:val="24"/>
                  <w:szCs w:val="24"/>
                </w:rPr>
                <w:fldChar w:fldCharType="begin"/>
              </w:r>
              <w:r w:rsidRPr="0088032A">
                <w:instrText xml:space="preserve"> PAGE </w:instrText>
              </w:r>
              <w:r w:rsidRPr="0088032A">
                <w:rPr>
                  <w:sz w:val="24"/>
                  <w:szCs w:val="24"/>
                </w:rPr>
                <w:fldChar w:fldCharType="separate"/>
              </w:r>
              <w:r>
                <w:rPr>
                  <w:sz w:val="24"/>
                  <w:szCs w:val="24"/>
                </w:rPr>
                <w:t>2</w:t>
              </w:r>
              <w:r w:rsidRPr="0088032A">
                <w:rPr>
                  <w:sz w:val="24"/>
                  <w:szCs w:val="24"/>
                </w:rPr>
                <w:fldChar w:fldCharType="end"/>
              </w:r>
              <w:r w:rsidRPr="0088032A">
                <w:t xml:space="preserve"> of </w:t>
              </w:r>
              <w:r w:rsidR="004D21CE">
                <w:fldChar w:fldCharType="begin"/>
              </w:r>
              <w:r w:rsidR="004D21CE">
                <w:instrText xml:space="preserve"> NUMPAGES  </w:instrText>
              </w:r>
              <w:r w:rsidR="004D21CE">
                <w:fldChar w:fldCharType="separate"/>
              </w:r>
              <w:r>
                <w:rPr>
                  <w:sz w:val="24"/>
                  <w:szCs w:val="24"/>
                </w:rPr>
                <w:t>22</w:t>
              </w:r>
              <w:r w:rsidR="004D21CE">
                <w:rPr>
                  <w:sz w:val="24"/>
                  <w:szCs w:val="24"/>
                </w:rPr>
                <w:fldChar w:fldCharType="end"/>
              </w:r>
            </w:p>
          </w:sdtContent>
        </w:sdt>
      </w:tc>
    </w:tr>
  </w:tbl>
  <w:p w14:paraId="41DA9030" w14:textId="77777777" w:rsidR="0088032A" w:rsidRPr="0088032A" w:rsidRDefault="0088032A" w:rsidP="0088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14:paraId="187FFDB8" w14:textId="77777777" w:rsidTr="00511875">
      <w:trPr>
        <w:trHeight w:val="990"/>
      </w:trPr>
      <w:tc>
        <w:tcPr>
          <w:tcW w:w="2610" w:type="dxa"/>
          <w:shd w:val="clear" w:color="auto" w:fill="auto"/>
        </w:tcPr>
        <w:p w14:paraId="632EDAD3" w14:textId="77777777" w:rsidR="00E716A7" w:rsidRPr="00A33BEA" w:rsidRDefault="00E716A7" w:rsidP="00E716A7">
          <w:pPr>
            <w:pStyle w:val="Header"/>
          </w:pPr>
          <w:r>
            <w:rPr>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A33BEA" w:rsidRDefault="00E716A7" w:rsidP="00E716A7">
          <w:pPr>
            <w:pStyle w:val="Header"/>
            <w:jc w:val="center"/>
            <w:rPr>
              <w:b/>
              <w:bCs/>
              <w:color w:val="0151A4"/>
              <w:sz w:val="36"/>
              <w:szCs w:val="36"/>
            </w:rPr>
          </w:pPr>
          <w:r w:rsidRPr="00A33BEA">
            <w:rPr>
              <w:b/>
              <w:bCs/>
              <w:color w:val="0151A4"/>
              <w:sz w:val="36"/>
              <w:szCs w:val="36"/>
            </w:rPr>
            <w:t>INSTITUTIONAL ANIMAL CARE AND USE COMMITTEE</w:t>
          </w:r>
        </w:p>
        <w:p w14:paraId="33171B53" w14:textId="68CA33D8" w:rsidR="00E716A7" w:rsidRPr="00A33BEA" w:rsidRDefault="00184109" w:rsidP="00E716A7">
          <w:pPr>
            <w:pStyle w:val="Header"/>
            <w:jc w:val="center"/>
            <w:rPr>
              <w:sz w:val="32"/>
              <w:szCs w:val="32"/>
            </w:rPr>
          </w:pPr>
          <w:r>
            <w:rPr>
              <w:b/>
              <w:bCs/>
              <w:color w:val="0151A4"/>
              <w:sz w:val="36"/>
              <w:szCs w:val="36"/>
            </w:rPr>
            <w:t>POST APPROVAL MONITORING</w:t>
          </w:r>
        </w:p>
      </w:tc>
    </w:tr>
  </w:tbl>
  <w:p w14:paraId="047E3F17" w14:textId="77777777" w:rsidR="00E716A7" w:rsidRDefault="00E7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3" w15:restartNumberingAfterBreak="0">
    <w:nsid w:val="4EAD7691"/>
    <w:multiLevelType w:val="hybridMultilevel"/>
    <w:tmpl w:val="7C262500"/>
    <w:lvl w:ilvl="0" w:tplc="83142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0A4BA2"/>
    <w:multiLevelType w:val="hybridMultilevel"/>
    <w:tmpl w:val="8C6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6C71"/>
    <w:multiLevelType w:val="hybridMultilevel"/>
    <w:tmpl w:val="0A50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6"/>
  </w:num>
  <w:num w:numId="2" w16cid:durableId="1461997417">
    <w:abstractNumId w:val="0"/>
  </w:num>
  <w:num w:numId="3" w16cid:durableId="1858928917">
    <w:abstractNumId w:val="1"/>
  </w:num>
  <w:num w:numId="4" w16cid:durableId="1881353921">
    <w:abstractNumId w:val="2"/>
  </w:num>
  <w:num w:numId="5" w16cid:durableId="1880705288">
    <w:abstractNumId w:val="5"/>
  </w:num>
  <w:num w:numId="6" w16cid:durableId="121928088">
    <w:abstractNumId w:val="4"/>
  </w:num>
  <w:num w:numId="7" w16cid:durableId="967855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X3yDxwmBAC6Jyvduc1oAtmundPz9KZM3uQ/xOCmoO3re0SSFvESBj6dSU77UPYev5Z59McYy/b7zLBLJ1l1cMg==" w:salt="rSiB/BlPz2NLIcMF7l5j3w=="/>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27D4"/>
    <w:rsid w:val="00006006"/>
    <w:rsid w:val="000062ED"/>
    <w:rsid w:val="000126C8"/>
    <w:rsid w:val="000135D3"/>
    <w:rsid w:val="00014143"/>
    <w:rsid w:val="000149B2"/>
    <w:rsid w:val="0001768A"/>
    <w:rsid w:val="00021B48"/>
    <w:rsid w:val="00023963"/>
    <w:rsid w:val="00027C20"/>
    <w:rsid w:val="0004408B"/>
    <w:rsid w:val="00044634"/>
    <w:rsid w:val="00061FEA"/>
    <w:rsid w:val="00070230"/>
    <w:rsid w:val="00076A73"/>
    <w:rsid w:val="000776B3"/>
    <w:rsid w:val="000855A9"/>
    <w:rsid w:val="00086A77"/>
    <w:rsid w:val="00097ACB"/>
    <w:rsid w:val="000B05C9"/>
    <w:rsid w:val="000B4ED2"/>
    <w:rsid w:val="000C05DE"/>
    <w:rsid w:val="000C256C"/>
    <w:rsid w:val="000D5EBD"/>
    <w:rsid w:val="000E0F29"/>
    <w:rsid w:val="000E4BF9"/>
    <w:rsid w:val="000E699D"/>
    <w:rsid w:val="000F4C67"/>
    <w:rsid w:val="0010040C"/>
    <w:rsid w:val="00112A31"/>
    <w:rsid w:val="00115D22"/>
    <w:rsid w:val="00117F30"/>
    <w:rsid w:val="00120209"/>
    <w:rsid w:val="00134D86"/>
    <w:rsid w:val="00141F0C"/>
    <w:rsid w:val="00142756"/>
    <w:rsid w:val="0014705E"/>
    <w:rsid w:val="00153519"/>
    <w:rsid w:val="00156458"/>
    <w:rsid w:val="00160D47"/>
    <w:rsid w:val="0016180D"/>
    <w:rsid w:val="001679E9"/>
    <w:rsid w:val="00170FF0"/>
    <w:rsid w:val="001836EE"/>
    <w:rsid w:val="00184109"/>
    <w:rsid w:val="00185DE0"/>
    <w:rsid w:val="00186A87"/>
    <w:rsid w:val="00194041"/>
    <w:rsid w:val="00197464"/>
    <w:rsid w:val="001B53A1"/>
    <w:rsid w:val="001C3D6E"/>
    <w:rsid w:val="001D21EE"/>
    <w:rsid w:val="001D228A"/>
    <w:rsid w:val="001E1F96"/>
    <w:rsid w:val="001E3316"/>
    <w:rsid w:val="001E6055"/>
    <w:rsid w:val="001F355D"/>
    <w:rsid w:val="0020249A"/>
    <w:rsid w:val="0020263F"/>
    <w:rsid w:val="0020386E"/>
    <w:rsid w:val="00204081"/>
    <w:rsid w:val="00204AC8"/>
    <w:rsid w:val="002111D5"/>
    <w:rsid w:val="00212A7F"/>
    <w:rsid w:val="00217FFA"/>
    <w:rsid w:val="002223C3"/>
    <w:rsid w:val="00223AA3"/>
    <w:rsid w:val="002279B7"/>
    <w:rsid w:val="00231B63"/>
    <w:rsid w:val="00236E6D"/>
    <w:rsid w:val="00240745"/>
    <w:rsid w:val="00240AA3"/>
    <w:rsid w:val="00240C40"/>
    <w:rsid w:val="002470D8"/>
    <w:rsid w:val="00247135"/>
    <w:rsid w:val="002561D1"/>
    <w:rsid w:val="002765FF"/>
    <w:rsid w:val="00280931"/>
    <w:rsid w:val="002841F2"/>
    <w:rsid w:val="002860F2"/>
    <w:rsid w:val="00287FA2"/>
    <w:rsid w:val="0029256B"/>
    <w:rsid w:val="002B0F73"/>
    <w:rsid w:val="002B73C8"/>
    <w:rsid w:val="002D6224"/>
    <w:rsid w:val="002E27AB"/>
    <w:rsid w:val="002E30CA"/>
    <w:rsid w:val="002F10FB"/>
    <w:rsid w:val="002F2BA7"/>
    <w:rsid w:val="002F7CD3"/>
    <w:rsid w:val="00300E49"/>
    <w:rsid w:val="00304AB3"/>
    <w:rsid w:val="003074FC"/>
    <w:rsid w:val="003165FB"/>
    <w:rsid w:val="00326283"/>
    <w:rsid w:val="003303C3"/>
    <w:rsid w:val="003323D9"/>
    <w:rsid w:val="0033349F"/>
    <w:rsid w:val="00336B33"/>
    <w:rsid w:val="00340807"/>
    <w:rsid w:val="00350C88"/>
    <w:rsid w:val="003521B9"/>
    <w:rsid w:val="00360344"/>
    <w:rsid w:val="00361C84"/>
    <w:rsid w:val="00370131"/>
    <w:rsid w:val="00370412"/>
    <w:rsid w:val="00373821"/>
    <w:rsid w:val="003742D5"/>
    <w:rsid w:val="00375133"/>
    <w:rsid w:val="00375318"/>
    <w:rsid w:val="00383A47"/>
    <w:rsid w:val="00387B79"/>
    <w:rsid w:val="00390F97"/>
    <w:rsid w:val="003914EE"/>
    <w:rsid w:val="003941EA"/>
    <w:rsid w:val="003A0C21"/>
    <w:rsid w:val="003B1212"/>
    <w:rsid w:val="003B446E"/>
    <w:rsid w:val="003B4A23"/>
    <w:rsid w:val="003C2A1D"/>
    <w:rsid w:val="003C2A6D"/>
    <w:rsid w:val="003D1E28"/>
    <w:rsid w:val="003D3C1B"/>
    <w:rsid w:val="003D7E9F"/>
    <w:rsid w:val="003E6515"/>
    <w:rsid w:val="003F2769"/>
    <w:rsid w:val="003F380B"/>
    <w:rsid w:val="00400AA4"/>
    <w:rsid w:val="00412C01"/>
    <w:rsid w:val="00420E58"/>
    <w:rsid w:val="004211A8"/>
    <w:rsid w:val="0042272B"/>
    <w:rsid w:val="00422922"/>
    <w:rsid w:val="00423084"/>
    <w:rsid w:val="004241A3"/>
    <w:rsid w:val="00424FE7"/>
    <w:rsid w:val="004404FC"/>
    <w:rsid w:val="00441C36"/>
    <w:rsid w:val="004435A4"/>
    <w:rsid w:val="0045689D"/>
    <w:rsid w:val="00485CF9"/>
    <w:rsid w:val="00486D6B"/>
    <w:rsid w:val="00494CFA"/>
    <w:rsid w:val="00495079"/>
    <w:rsid w:val="00496A88"/>
    <w:rsid w:val="00497660"/>
    <w:rsid w:val="004B3D04"/>
    <w:rsid w:val="004B623C"/>
    <w:rsid w:val="004B72B4"/>
    <w:rsid w:val="004BAE4D"/>
    <w:rsid w:val="004C1155"/>
    <w:rsid w:val="004C176F"/>
    <w:rsid w:val="004D21CE"/>
    <w:rsid w:val="004D2454"/>
    <w:rsid w:val="004D4BB9"/>
    <w:rsid w:val="004D7876"/>
    <w:rsid w:val="004E14C8"/>
    <w:rsid w:val="004E1E10"/>
    <w:rsid w:val="004E2AC4"/>
    <w:rsid w:val="004E5822"/>
    <w:rsid w:val="004E757C"/>
    <w:rsid w:val="004F1E55"/>
    <w:rsid w:val="00500B26"/>
    <w:rsid w:val="00500F60"/>
    <w:rsid w:val="0050256F"/>
    <w:rsid w:val="0050664E"/>
    <w:rsid w:val="00506E78"/>
    <w:rsid w:val="005074E1"/>
    <w:rsid w:val="00510407"/>
    <w:rsid w:val="00511227"/>
    <w:rsid w:val="0051178D"/>
    <w:rsid w:val="005223C0"/>
    <w:rsid w:val="0052287B"/>
    <w:rsid w:val="00526BA4"/>
    <w:rsid w:val="00536C4A"/>
    <w:rsid w:val="00542D7E"/>
    <w:rsid w:val="00553D1A"/>
    <w:rsid w:val="005565FE"/>
    <w:rsid w:val="00575455"/>
    <w:rsid w:val="00576AD3"/>
    <w:rsid w:val="00582453"/>
    <w:rsid w:val="00582783"/>
    <w:rsid w:val="00591AEE"/>
    <w:rsid w:val="00592242"/>
    <w:rsid w:val="00592A6E"/>
    <w:rsid w:val="00597C69"/>
    <w:rsid w:val="005B34F2"/>
    <w:rsid w:val="005B5A6A"/>
    <w:rsid w:val="005D14E3"/>
    <w:rsid w:val="005D7D2B"/>
    <w:rsid w:val="005E3E6A"/>
    <w:rsid w:val="005E40F0"/>
    <w:rsid w:val="005E616C"/>
    <w:rsid w:val="005F3222"/>
    <w:rsid w:val="005F4F00"/>
    <w:rsid w:val="005F50A5"/>
    <w:rsid w:val="00615927"/>
    <w:rsid w:val="0062189B"/>
    <w:rsid w:val="00624174"/>
    <w:rsid w:val="00624ECF"/>
    <w:rsid w:val="0062582B"/>
    <w:rsid w:val="00627FB3"/>
    <w:rsid w:val="00630BD2"/>
    <w:rsid w:val="00631A5A"/>
    <w:rsid w:val="00641654"/>
    <w:rsid w:val="00641977"/>
    <w:rsid w:val="00652095"/>
    <w:rsid w:val="00661CE6"/>
    <w:rsid w:val="0066254A"/>
    <w:rsid w:val="00662BB7"/>
    <w:rsid w:val="006771D7"/>
    <w:rsid w:val="00686248"/>
    <w:rsid w:val="00686B13"/>
    <w:rsid w:val="0069236A"/>
    <w:rsid w:val="006A6CC6"/>
    <w:rsid w:val="006B492C"/>
    <w:rsid w:val="006C3306"/>
    <w:rsid w:val="006D7687"/>
    <w:rsid w:val="006E163D"/>
    <w:rsid w:val="006F2176"/>
    <w:rsid w:val="007010A1"/>
    <w:rsid w:val="00701208"/>
    <w:rsid w:val="00701395"/>
    <w:rsid w:val="00701B5C"/>
    <w:rsid w:val="00703B59"/>
    <w:rsid w:val="00711630"/>
    <w:rsid w:val="00713580"/>
    <w:rsid w:val="00716887"/>
    <w:rsid w:val="00724E63"/>
    <w:rsid w:val="00725753"/>
    <w:rsid w:val="00725EF3"/>
    <w:rsid w:val="007302A3"/>
    <w:rsid w:val="0073091A"/>
    <w:rsid w:val="007322FA"/>
    <w:rsid w:val="007443C3"/>
    <w:rsid w:val="007464AC"/>
    <w:rsid w:val="00746877"/>
    <w:rsid w:val="00755E7E"/>
    <w:rsid w:val="00764306"/>
    <w:rsid w:val="00767201"/>
    <w:rsid w:val="00775E4F"/>
    <w:rsid w:val="00777801"/>
    <w:rsid w:val="00781513"/>
    <w:rsid w:val="00781533"/>
    <w:rsid w:val="00784A80"/>
    <w:rsid w:val="00786453"/>
    <w:rsid w:val="00791896"/>
    <w:rsid w:val="00795248"/>
    <w:rsid w:val="007B55D3"/>
    <w:rsid w:val="007B5942"/>
    <w:rsid w:val="007C2566"/>
    <w:rsid w:val="007C3CCF"/>
    <w:rsid w:val="007F4471"/>
    <w:rsid w:val="007F65CD"/>
    <w:rsid w:val="008066CD"/>
    <w:rsid w:val="008241EF"/>
    <w:rsid w:val="00827B32"/>
    <w:rsid w:val="00827F3F"/>
    <w:rsid w:val="00834E9B"/>
    <w:rsid w:val="00835A3E"/>
    <w:rsid w:val="00837E23"/>
    <w:rsid w:val="00840181"/>
    <w:rsid w:val="008467FC"/>
    <w:rsid w:val="0085263F"/>
    <w:rsid w:val="0085605F"/>
    <w:rsid w:val="0086153F"/>
    <w:rsid w:val="008615D5"/>
    <w:rsid w:val="0088032A"/>
    <w:rsid w:val="00883C46"/>
    <w:rsid w:val="00894315"/>
    <w:rsid w:val="008A6638"/>
    <w:rsid w:val="008B3461"/>
    <w:rsid w:val="008B4A89"/>
    <w:rsid w:val="008B67B5"/>
    <w:rsid w:val="008B6A7A"/>
    <w:rsid w:val="008C4F54"/>
    <w:rsid w:val="008C70A0"/>
    <w:rsid w:val="008D22BF"/>
    <w:rsid w:val="008F179E"/>
    <w:rsid w:val="008F7CE1"/>
    <w:rsid w:val="00903B69"/>
    <w:rsid w:val="00903DD9"/>
    <w:rsid w:val="00914855"/>
    <w:rsid w:val="00915031"/>
    <w:rsid w:val="00915CDD"/>
    <w:rsid w:val="00927A1A"/>
    <w:rsid w:val="00935A01"/>
    <w:rsid w:val="009362A5"/>
    <w:rsid w:val="00944045"/>
    <w:rsid w:val="009613AC"/>
    <w:rsid w:val="009651C0"/>
    <w:rsid w:val="009653A0"/>
    <w:rsid w:val="00965728"/>
    <w:rsid w:val="00982F2E"/>
    <w:rsid w:val="009843AA"/>
    <w:rsid w:val="00997D72"/>
    <w:rsid w:val="009A620B"/>
    <w:rsid w:val="009B5C34"/>
    <w:rsid w:val="009B7532"/>
    <w:rsid w:val="009C0693"/>
    <w:rsid w:val="009C331F"/>
    <w:rsid w:val="009C5340"/>
    <w:rsid w:val="009C6D2B"/>
    <w:rsid w:val="009D135C"/>
    <w:rsid w:val="009D4AD4"/>
    <w:rsid w:val="009D6295"/>
    <w:rsid w:val="009D779F"/>
    <w:rsid w:val="009E30CF"/>
    <w:rsid w:val="009E7F04"/>
    <w:rsid w:val="009F5DEA"/>
    <w:rsid w:val="00A00251"/>
    <w:rsid w:val="00A004CC"/>
    <w:rsid w:val="00A0145E"/>
    <w:rsid w:val="00A0483E"/>
    <w:rsid w:val="00A068DA"/>
    <w:rsid w:val="00A07010"/>
    <w:rsid w:val="00A1082B"/>
    <w:rsid w:val="00A2082C"/>
    <w:rsid w:val="00A2159A"/>
    <w:rsid w:val="00A31520"/>
    <w:rsid w:val="00A33BEA"/>
    <w:rsid w:val="00A4154F"/>
    <w:rsid w:val="00A432C0"/>
    <w:rsid w:val="00A458A4"/>
    <w:rsid w:val="00A4752A"/>
    <w:rsid w:val="00A52738"/>
    <w:rsid w:val="00A52C01"/>
    <w:rsid w:val="00A54C64"/>
    <w:rsid w:val="00A55ADF"/>
    <w:rsid w:val="00A56A9A"/>
    <w:rsid w:val="00A60B58"/>
    <w:rsid w:val="00A70809"/>
    <w:rsid w:val="00A74C98"/>
    <w:rsid w:val="00A75832"/>
    <w:rsid w:val="00A758D8"/>
    <w:rsid w:val="00A86E8C"/>
    <w:rsid w:val="00A90041"/>
    <w:rsid w:val="00AA17DE"/>
    <w:rsid w:val="00AA671A"/>
    <w:rsid w:val="00AB2E53"/>
    <w:rsid w:val="00AB35C0"/>
    <w:rsid w:val="00AB7766"/>
    <w:rsid w:val="00AD0297"/>
    <w:rsid w:val="00AD10CF"/>
    <w:rsid w:val="00AE2C4D"/>
    <w:rsid w:val="00AE2E10"/>
    <w:rsid w:val="00AE7D38"/>
    <w:rsid w:val="00AF0361"/>
    <w:rsid w:val="00B03529"/>
    <w:rsid w:val="00B03587"/>
    <w:rsid w:val="00B111C5"/>
    <w:rsid w:val="00B12D7C"/>
    <w:rsid w:val="00B15591"/>
    <w:rsid w:val="00B159A8"/>
    <w:rsid w:val="00B24374"/>
    <w:rsid w:val="00B34073"/>
    <w:rsid w:val="00B43ECE"/>
    <w:rsid w:val="00B44388"/>
    <w:rsid w:val="00B45DD1"/>
    <w:rsid w:val="00B52436"/>
    <w:rsid w:val="00B562C2"/>
    <w:rsid w:val="00B6544F"/>
    <w:rsid w:val="00B6775D"/>
    <w:rsid w:val="00B7515B"/>
    <w:rsid w:val="00B82DDD"/>
    <w:rsid w:val="00B84C76"/>
    <w:rsid w:val="00B92569"/>
    <w:rsid w:val="00B94D64"/>
    <w:rsid w:val="00BA34C8"/>
    <w:rsid w:val="00BB6C8C"/>
    <w:rsid w:val="00BC11C5"/>
    <w:rsid w:val="00BC25F2"/>
    <w:rsid w:val="00BC5740"/>
    <w:rsid w:val="00BD1086"/>
    <w:rsid w:val="00BE26BE"/>
    <w:rsid w:val="00BE2C12"/>
    <w:rsid w:val="00BF115E"/>
    <w:rsid w:val="00BF681D"/>
    <w:rsid w:val="00BF7AA7"/>
    <w:rsid w:val="00BF7F40"/>
    <w:rsid w:val="00C0740B"/>
    <w:rsid w:val="00C14A86"/>
    <w:rsid w:val="00C15625"/>
    <w:rsid w:val="00C16924"/>
    <w:rsid w:val="00C231EE"/>
    <w:rsid w:val="00C2500D"/>
    <w:rsid w:val="00C41416"/>
    <w:rsid w:val="00C42F1C"/>
    <w:rsid w:val="00C52603"/>
    <w:rsid w:val="00C757C7"/>
    <w:rsid w:val="00C82BA8"/>
    <w:rsid w:val="00C85BAD"/>
    <w:rsid w:val="00C955CD"/>
    <w:rsid w:val="00C961B7"/>
    <w:rsid w:val="00CA24A5"/>
    <w:rsid w:val="00CB5042"/>
    <w:rsid w:val="00CC3279"/>
    <w:rsid w:val="00CF2239"/>
    <w:rsid w:val="00CF3BFC"/>
    <w:rsid w:val="00D125EB"/>
    <w:rsid w:val="00D1653B"/>
    <w:rsid w:val="00D267DA"/>
    <w:rsid w:val="00D2692D"/>
    <w:rsid w:val="00D353D2"/>
    <w:rsid w:val="00D419C1"/>
    <w:rsid w:val="00D477C9"/>
    <w:rsid w:val="00D52AC0"/>
    <w:rsid w:val="00D61431"/>
    <w:rsid w:val="00D82D9B"/>
    <w:rsid w:val="00D91EAE"/>
    <w:rsid w:val="00D92600"/>
    <w:rsid w:val="00D930E4"/>
    <w:rsid w:val="00DA23E2"/>
    <w:rsid w:val="00DA2779"/>
    <w:rsid w:val="00DC3383"/>
    <w:rsid w:val="00DD2318"/>
    <w:rsid w:val="00DD71E4"/>
    <w:rsid w:val="00DE6213"/>
    <w:rsid w:val="00DE7380"/>
    <w:rsid w:val="00E00983"/>
    <w:rsid w:val="00E02C9A"/>
    <w:rsid w:val="00E033D0"/>
    <w:rsid w:val="00E03489"/>
    <w:rsid w:val="00E035B8"/>
    <w:rsid w:val="00E123FA"/>
    <w:rsid w:val="00E236DF"/>
    <w:rsid w:val="00E24583"/>
    <w:rsid w:val="00E31BE6"/>
    <w:rsid w:val="00E3672C"/>
    <w:rsid w:val="00E46B8A"/>
    <w:rsid w:val="00E46C9C"/>
    <w:rsid w:val="00E50C14"/>
    <w:rsid w:val="00E600A9"/>
    <w:rsid w:val="00E63030"/>
    <w:rsid w:val="00E678A1"/>
    <w:rsid w:val="00E710B5"/>
    <w:rsid w:val="00E716A7"/>
    <w:rsid w:val="00E75771"/>
    <w:rsid w:val="00E77D17"/>
    <w:rsid w:val="00E86DB2"/>
    <w:rsid w:val="00E872FD"/>
    <w:rsid w:val="00EA1A07"/>
    <w:rsid w:val="00EA55CE"/>
    <w:rsid w:val="00EB155E"/>
    <w:rsid w:val="00EB5522"/>
    <w:rsid w:val="00EC441C"/>
    <w:rsid w:val="00EC5420"/>
    <w:rsid w:val="00ED1F59"/>
    <w:rsid w:val="00ED763A"/>
    <w:rsid w:val="00ED7657"/>
    <w:rsid w:val="00EE6EC3"/>
    <w:rsid w:val="00EE7C91"/>
    <w:rsid w:val="00EF492D"/>
    <w:rsid w:val="00F069EE"/>
    <w:rsid w:val="00F10560"/>
    <w:rsid w:val="00F13D90"/>
    <w:rsid w:val="00F21816"/>
    <w:rsid w:val="00F2721E"/>
    <w:rsid w:val="00F44D46"/>
    <w:rsid w:val="00F530EA"/>
    <w:rsid w:val="00F544B1"/>
    <w:rsid w:val="00F56A08"/>
    <w:rsid w:val="00F5783E"/>
    <w:rsid w:val="00F67CA9"/>
    <w:rsid w:val="00F733DB"/>
    <w:rsid w:val="00F741FA"/>
    <w:rsid w:val="00F74BCD"/>
    <w:rsid w:val="00F8333D"/>
    <w:rsid w:val="00F87863"/>
    <w:rsid w:val="00F961CF"/>
    <w:rsid w:val="00FB2AFE"/>
    <w:rsid w:val="00FB5897"/>
    <w:rsid w:val="00FC23A1"/>
    <w:rsid w:val="00FC2E44"/>
    <w:rsid w:val="00FD1C2D"/>
    <w:rsid w:val="00FF3D11"/>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783E"/>
    <w:rPr>
      <w:color w:val="808080"/>
    </w:rPr>
  </w:style>
  <w:style w:type="paragraph" w:styleId="Header">
    <w:name w:val="header"/>
    <w:basedOn w:val="Normal"/>
    <w:link w:val="HeaderChar"/>
    <w:uiPriority w:val="99"/>
    <w:unhideWhenUs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1FEA"/>
    <w:rPr>
      <w:color w:val="0563C1" w:themeColor="hyperlink"/>
      <w:u w:val="single"/>
    </w:rPr>
  </w:style>
  <w:style w:type="character" w:styleId="UnresolvedMention">
    <w:name w:val="Unresolved Mention"/>
    <w:basedOn w:val="DefaultParagraphFont"/>
    <w:uiPriority w:val="99"/>
    <w:semiHidden/>
    <w:unhideWhenUsed/>
    <w:rsid w:val="00061FEA"/>
    <w:rPr>
      <w:color w:val="605E5C"/>
      <w:shd w:val="clear" w:color="auto" w:fill="E1DFDD"/>
    </w:rPr>
  </w:style>
  <w:style w:type="character" w:styleId="CommentReference">
    <w:name w:val="annotation reference"/>
    <w:basedOn w:val="DefaultParagraphFont"/>
    <w:uiPriority w:val="99"/>
    <w:semiHidden/>
    <w:unhideWhenUsed/>
    <w:rsid w:val="00360344"/>
    <w:rPr>
      <w:sz w:val="16"/>
      <w:szCs w:val="16"/>
    </w:rPr>
  </w:style>
  <w:style w:type="paragraph" w:styleId="CommentText">
    <w:name w:val="annotation text"/>
    <w:basedOn w:val="Normal"/>
    <w:link w:val="CommentTextChar"/>
    <w:uiPriority w:val="99"/>
    <w:semiHidden/>
    <w:unhideWhenUs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link w:val="ListParagraphChar"/>
    <w:uiPriority w:val="34"/>
    <w:qFormat/>
    <w:rsid w:val="00412C01"/>
    <w:pPr>
      <w:ind w:left="720"/>
      <w:contextualSpacing/>
    </w:pPr>
  </w:style>
  <w:style w:type="paragraph" w:styleId="NoSpacing">
    <w:name w:val="No Spacing"/>
    <w:uiPriority w:val="1"/>
    <w:qFormat/>
    <w:rsid w:val="006D7687"/>
    <w:pPr>
      <w:spacing w:after="0" w:line="240" w:lineRule="auto"/>
    </w:pPr>
  </w:style>
  <w:style w:type="paragraph" w:styleId="BodyText">
    <w:name w:val="Body Text"/>
    <w:basedOn w:val="Normal"/>
    <w:link w:val="BodyTextChar"/>
    <w:uiPriority w:val="1"/>
    <w:qFormat/>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 w:type="character" w:customStyle="1" w:styleId="ListParagraphChar">
    <w:name w:val="List Paragraph Char"/>
    <w:basedOn w:val="DefaultParagraphFont"/>
    <w:link w:val="ListParagraph"/>
    <w:uiPriority w:val="34"/>
    <w:rsid w:val="00BC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microsoft.com/Pages/ResponsePage.aspx?id=OWzO5TwCm02bKOD547czJdUBkBnx0FhBgLNj_YQ-XwBUMkgwRkVUTUVBUVhVVzJZVUVJRVFFWVgwSi4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cuc@georgiaaquarium.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georgiaaquarium.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3" ma:contentTypeDescription="Create a new document." ma:contentTypeScope="" ma:versionID="264a583d6b2a385dee39c8ddd7057787">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bcbfbc0bdf7040a0ee32404fdf22378b"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D9395-CFC8-44C8-B75A-CAD3D16E6F08}">
  <ds:schemaRefs>
    <ds:schemaRef ds:uri="6a23cbb5-59bb-4092-88e1-459dd0b0ac84"/>
    <ds:schemaRef ds:uri="http://purl.org/dc/dcmitype/"/>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9ec42bb-0755-4814-b8cd-767763071f32"/>
  </ds:schemaRefs>
</ds:datastoreItem>
</file>

<file path=customXml/itemProps2.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3.xml><?xml version="1.0" encoding="utf-8"?>
<ds:datastoreItem xmlns:ds="http://schemas.openxmlformats.org/officeDocument/2006/customXml" ds:itemID="{824AD6A3-9490-419F-AF4A-90166F81D117}">
  <ds:schemaRefs>
    <ds:schemaRef ds:uri="http://schemas.microsoft.com/sharepoint/v3/contenttype/forms"/>
  </ds:schemaRefs>
</ds:datastoreItem>
</file>

<file path=customXml/itemProps4.xml><?xml version="1.0" encoding="utf-8"?>
<ds:datastoreItem xmlns:ds="http://schemas.openxmlformats.org/officeDocument/2006/customXml" ds:itemID="{DC507011-62DE-45F2-A724-798AB96E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Elizabeth Lovern</cp:lastModifiedBy>
  <cp:revision>209</cp:revision>
  <dcterms:created xsi:type="dcterms:W3CDTF">2023-04-16T02:44:00Z</dcterms:created>
  <dcterms:modified xsi:type="dcterms:W3CDTF">2023-06-03T09:56:00Z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